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Layout w:type="fixed"/>
        <w:tblCellMar>
          <w:top w:w="0" w:type="dxa"/>
          <w:left w:w="28" w:type="dxa"/>
          <w:bottom w:w="0" w:type="dxa"/>
          <w:right w:w="28" w:type="dxa"/>
        </w:tblCellMar>
      </w:tblPr>
      <w:tblGrid>
        <w:gridCol w:w="8900"/>
      </w:tblGrid>
      <w:tr>
        <w:tblPrEx>
          <w:tblCellMar>
            <w:top w:w="0" w:type="dxa"/>
            <w:left w:w="28" w:type="dxa"/>
            <w:bottom w:w="0" w:type="dxa"/>
            <w:right w:w="28" w:type="dxa"/>
          </w:tblCellMar>
        </w:tblPrEx>
        <w:trPr>
          <w:cantSplit/>
          <w:trHeight w:val="454" w:hRule="atLeast"/>
        </w:trPr>
        <w:tc>
          <w:tcPr>
            <w:tcW w:w="8900" w:type="dxa"/>
            <w:noWrap w:val="0"/>
            <w:vAlign w:val="center"/>
          </w:tcPr>
          <w:p>
            <w:pPr>
              <w:adjustRightInd w:val="0"/>
              <w:snapToGrid w:val="0"/>
              <w:spacing w:before="100" w:beforeAutospacing="1" w:after="100" w:afterAutospacing="1"/>
              <w:ind w:right="496" w:rightChars="157"/>
              <w:textAlignment w:val="bottom"/>
              <w:rPr>
                <w:rFonts w:ascii="黑体" w:hAnsi="黑体" w:eastAsia="黑体"/>
                <w:sz w:val="32"/>
              </w:rPr>
            </w:pPr>
            <w:bookmarkStart w:id="0" w:name="fqfrq"/>
            <w:bookmarkEnd w:id="0"/>
            <w:bookmarkStart w:id="1" w:name="fhj"/>
            <w:r>
              <w:rPr>
                <w:rFonts w:hint="eastAsia" w:ascii="黑体" w:hAnsi="黑体" w:eastAsia="黑体"/>
                <w:sz w:val="32"/>
              </w:rPr>
              <w:t xml:space="preserve"> </w:t>
            </w:r>
            <w:bookmarkEnd w:id="1"/>
          </w:p>
        </w:tc>
      </w:tr>
      <w:tr>
        <w:tblPrEx>
          <w:tblCellMar>
            <w:top w:w="0" w:type="dxa"/>
            <w:left w:w="28" w:type="dxa"/>
            <w:bottom w:w="0" w:type="dxa"/>
            <w:right w:w="28" w:type="dxa"/>
          </w:tblCellMar>
        </w:tblPrEx>
        <w:trPr>
          <w:cantSplit/>
          <w:trHeight w:val="664" w:hRule="atLeast"/>
        </w:trPr>
        <w:tc>
          <w:tcPr>
            <w:tcW w:w="8900" w:type="dxa"/>
            <w:noWrap w:val="0"/>
            <w:vAlign w:val="center"/>
          </w:tcPr>
          <w:p>
            <w:pPr>
              <w:adjustRightInd w:val="0"/>
              <w:snapToGrid w:val="0"/>
              <w:spacing w:before="100" w:beforeAutospacing="1" w:after="100" w:afterAutospacing="1"/>
              <w:ind w:right="496" w:rightChars="157"/>
              <w:textAlignment w:val="bottom"/>
              <w:rPr>
                <w:rFonts w:eastAsia="黑体"/>
                <w:sz w:val="32"/>
              </w:rPr>
            </w:pPr>
          </w:p>
        </w:tc>
      </w:tr>
      <w:tr>
        <w:tblPrEx>
          <w:tblCellMar>
            <w:top w:w="0" w:type="dxa"/>
            <w:left w:w="28" w:type="dxa"/>
            <w:bottom w:w="0" w:type="dxa"/>
            <w:right w:w="28" w:type="dxa"/>
          </w:tblCellMar>
        </w:tblPrEx>
        <w:trPr>
          <w:cantSplit/>
          <w:trHeight w:val="703" w:hRule="atLeast"/>
        </w:trPr>
        <w:tc>
          <w:tcPr>
            <w:tcW w:w="8900" w:type="dxa"/>
            <w:noWrap w:val="0"/>
            <w:vAlign w:val="center"/>
          </w:tcPr>
          <w:p>
            <w:pPr>
              <w:adjustRightInd w:val="0"/>
              <w:snapToGrid w:val="0"/>
              <w:spacing w:before="100" w:beforeAutospacing="1" w:after="100" w:afterAutospacing="1"/>
              <w:ind w:right="496" w:rightChars="157"/>
              <w:textAlignment w:val="bottom"/>
              <w:rPr>
                <w:rFonts w:eastAsia="黑体"/>
                <w:color w:val="FFFFFF"/>
                <w:sz w:val="32"/>
              </w:rPr>
            </w:pPr>
          </w:p>
        </w:tc>
      </w:tr>
      <w:tr>
        <w:tblPrEx>
          <w:tblCellMar>
            <w:top w:w="0" w:type="dxa"/>
            <w:left w:w="28" w:type="dxa"/>
            <w:bottom w:w="0" w:type="dxa"/>
            <w:right w:w="28" w:type="dxa"/>
          </w:tblCellMar>
        </w:tblPrEx>
        <w:trPr>
          <w:trHeight w:val="1093" w:hRule="atLeast"/>
        </w:trPr>
        <w:tc>
          <w:tcPr>
            <w:tcW w:w="8900" w:type="dxa"/>
            <w:noWrap w:val="0"/>
            <w:vAlign w:val="center"/>
          </w:tcPr>
          <w:p>
            <w:pPr>
              <w:snapToGrid w:val="0"/>
              <w:spacing w:before="100" w:beforeAutospacing="1" w:after="100" w:afterAutospacing="1"/>
              <w:jc w:val="center"/>
              <w:textAlignment w:val="bottom"/>
              <w:rPr>
                <w:rFonts w:ascii="方正小标宋简体" w:eastAsia="方正小标宋简体"/>
                <w:b/>
                <w:bCs/>
                <w:color w:val="FFFFFF"/>
                <w:sz w:val="84"/>
                <w:szCs w:val="84"/>
              </w:rPr>
            </w:pPr>
            <w:bookmarkStart w:id="2" w:name="fhead"/>
            <w:r>
              <w:rPr>
                <w:rFonts w:hint="eastAsia" w:ascii="方正小标宋简体" w:hAnsi="宋体" w:eastAsia="方正小标宋简体"/>
                <w:b/>
                <w:color w:val="FF0000"/>
                <w:spacing w:val="52"/>
                <w:kern w:val="0"/>
                <w:sz w:val="84"/>
                <w:szCs w:val="84"/>
                <w:highlight w:val="none"/>
              </w:rPr>
              <w:t>泉州市财政局文件</w:t>
            </w:r>
            <w:bookmarkEnd w:id="2"/>
          </w:p>
        </w:tc>
      </w:tr>
      <w:tr>
        <w:tblPrEx>
          <w:tblCellMar>
            <w:top w:w="0" w:type="dxa"/>
            <w:left w:w="28" w:type="dxa"/>
            <w:bottom w:w="0" w:type="dxa"/>
            <w:right w:w="28" w:type="dxa"/>
          </w:tblCellMar>
        </w:tblPrEx>
        <w:trPr>
          <w:cantSplit/>
          <w:trHeight w:val="1648" w:hRule="atLeast"/>
        </w:trPr>
        <w:tc>
          <w:tcPr>
            <w:tcW w:w="8900" w:type="dxa"/>
            <w:noWrap w:val="0"/>
            <w:vAlign w:val="bottom"/>
          </w:tcPr>
          <w:p>
            <w:pPr>
              <w:snapToGrid w:val="0"/>
              <w:spacing w:before="120" w:line="318" w:lineRule="atLeast"/>
              <w:ind w:right="339" w:firstLine="632" w:firstLineChars="200"/>
              <w:jc w:val="center"/>
              <w:textAlignment w:val="bottom"/>
              <w:rPr>
                <w:rFonts w:hint="eastAsia" w:ascii="仿宋" w:hAnsi="仿宋" w:eastAsia="仿宋"/>
                <w:sz w:val="32"/>
                <w:lang w:eastAsia="zh-CN"/>
              </w:rPr>
            </w:pPr>
            <w:bookmarkStart w:id="3" w:name="机关代字"/>
            <w:bookmarkStart w:id="4" w:name="fwh"/>
            <w:r>
              <w:rPr>
                <w:rFonts w:hint="eastAsia" w:ascii="仿宋" w:hAnsi="仿宋" w:eastAsia="仿宋" w:cs="仿宋"/>
                <w:bCs/>
                <w:lang w:eastAsia="zh-CN"/>
              </w:rPr>
              <w:t>泉财规</w:t>
            </w:r>
            <w:bookmarkEnd w:id="3"/>
            <w:r>
              <w:rPr>
                <w:rFonts w:hint="eastAsia" w:ascii="仿宋" w:hAnsi="仿宋" w:eastAsia="仿宋" w:cs="仿宋"/>
              </w:rPr>
              <w:t>〔</w:t>
            </w:r>
            <w:bookmarkStart w:id="5" w:name="发文年号"/>
            <w:r>
              <w:rPr>
                <w:rFonts w:hint="eastAsia" w:ascii="仿宋" w:hAnsi="仿宋" w:eastAsia="仿宋" w:cs="仿宋"/>
                <w:bCs/>
                <w:lang w:eastAsia="zh-CN"/>
              </w:rPr>
              <w:t>2024</w:t>
            </w:r>
            <w:bookmarkEnd w:id="5"/>
            <w:r>
              <w:rPr>
                <w:rFonts w:hint="eastAsia" w:ascii="仿宋" w:hAnsi="仿宋" w:eastAsia="仿宋" w:cs="仿宋"/>
              </w:rPr>
              <w:t>〕</w:t>
            </w:r>
            <w:r>
              <w:rPr>
                <w:rFonts w:hint="eastAsia" w:ascii="仿宋" w:hAnsi="仿宋" w:eastAsia="仿宋" w:cs="仿宋"/>
                <w:bCs/>
                <w:lang w:val="en-US" w:eastAsia="zh-CN"/>
              </w:rPr>
              <w:t>5</w:t>
            </w:r>
            <w:r>
              <w:rPr>
                <w:rFonts w:hint="eastAsia" w:ascii="仿宋" w:hAnsi="仿宋" w:eastAsia="仿宋" w:cs="仿宋"/>
              </w:rPr>
              <w:t>号</w:t>
            </w:r>
            <w:bookmarkEnd w:id="4"/>
            <w:bookmarkStart w:id="9" w:name="_GoBack"/>
            <w:bookmarkEnd w:id="9"/>
          </w:p>
        </w:tc>
      </w:tr>
      <w:tr>
        <w:tblPrEx>
          <w:tblCellMar>
            <w:top w:w="0" w:type="dxa"/>
            <w:left w:w="28" w:type="dxa"/>
            <w:bottom w:w="0" w:type="dxa"/>
            <w:right w:w="28" w:type="dxa"/>
          </w:tblCellMar>
        </w:tblPrEx>
        <w:trPr>
          <w:trHeight w:val="113" w:hRule="exact"/>
        </w:trPr>
        <w:tc>
          <w:tcPr>
            <w:tcW w:w="8900" w:type="dxa"/>
            <w:noWrap w:val="0"/>
            <w:vAlign w:val="top"/>
          </w:tcPr>
          <w:p>
            <w:pPr>
              <w:snapToGrid w:val="0"/>
              <w:spacing w:line="160" w:lineRule="exact"/>
              <w:rPr>
                <w:rFonts w:ascii="仿宋" w:hAnsi="仿宋" w:eastAsia="仿宋"/>
                <w:szCs w:val="21"/>
              </w:rPr>
            </w:pPr>
            <w:bookmarkStart w:id="6" w:name="fline"/>
            <w:r>
              <w:rPr>
                <w:rFonts w:hint="eastAsia" w:ascii="仿宋" w:hAnsi="仿宋" w:eastAsia="仿宋"/>
                <w:szCs w:val="21"/>
              </w:rPr>
              <w:pict>
                <v:rect id="_x0000_i1025" o:spt="1" style="height:3pt;width:438.25pt;" fillcolor="#FFFFFF" filled="t" stroked="f" coordsize="21600,21600" o:hr="t" o:hrstd="t" o:hrnoshade="t" o:hralign="center">
                  <v:path/>
                  <v:fill on="t" color2="#FFFFFF" focussize="0,0"/>
                  <v:stroke on="f"/>
                  <v:imagedata o:title=""/>
                  <o:lock v:ext="edit" aspectratio="f"/>
                  <w10:wrap type="none"/>
                  <w10:anchorlock/>
                </v:rect>
              </w:pict>
            </w:r>
            <w:bookmarkEnd w:id="6"/>
          </w:p>
        </w:tc>
      </w:tr>
    </w:tbl>
    <w:p>
      <w:pPr>
        <w:snapToGrid w:val="0"/>
        <w:jc w:val="center"/>
        <w:rPr>
          <w:rFonts w:hint="eastAsia" w:ascii="仿宋" w:hAnsi="仿宋" w:eastAsia="仿宋"/>
          <w:sz w:val="44"/>
          <w:szCs w:val="44"/>
        </w:rPr>
      </w:pPr>
    </w:p>
    <w:p>
      <w:pPr>
        <w:pStyle w:val="2"/>
        <w:snapToGrid w:val="0"/>
        <w:jc w:val="center"/>
        <w:rPr>
          <w:rFonts w:hint="eastAsia" w:ascii="仿宋" w:hAnsi="仿宋" w:eastAsia="仿宋"/>
          <w:sz w:val="44"/>
          <w:szCs w:val="44"/>
        </w:rPr>
      </w:pPr>
    </w:p>
    <w:p>
      <w:pPr>
        <w:keepNext w:val="0"/>
        <w:keepLines w:val="0"/>
        <w:widowControl w:val="0"/>
        <w:suppressLineNumbers w:val="0"/>
        <w:snapToGrid w:val="0"/>
        <w:jc w:val="cente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t>泉州市财政局关于公布2024年度</w:t>
      </w:r>
    </w:p>
    <w:p>
      <w:pPr>
        <w:keepNext w:val="0"/>
        <w:keepLines w:val="0"/>
        <w:widowControl w:val="0"/>
        <w:suppressLineNumbers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t>行政规范性文件清理结果的通知</w:t>
      </w:r>
    </w:p>
    <w:p>
      <w:pPr>
        <w:pStyle w:val="2"/>
        <w:snapToGrid w:val="0"/>
        <w:jc w:val="center"/>
        <w:rPr>
          <w:rFonts w:hint="eastAsia" w:ascii="仿宋" w:hAnsi="仿宋" w:eastAsia="仿宋"/>
          <w:sz w:val="32"/>
          <w:szCs w:val="32"/>
        </w:rPr>
      </w:pPr>
    </w:p>
    <w:p>
      <w:pPr>
        <w:snapToGrid w:val="0"/>
        <w:spacing w:line="560" w:lineRule="exact"/>
        <w:rPr>
          <w:rFonts w:hint="eastAsia" w:ascii="仿宋_GB2312" w:hAnsi="仿宋_GB2312" w:cs="仿宋_GB2312"/>
          <w:snapToGrid w:val="0"/>
          <w:kern w:val="0"/>
        </w:rPr>
      </w:pPr>
      <w:bookmarkStart w:id="7" w:name="主送单位"/>
      <w:r>
        <w:rPr>
          <w:rFonts w:hint="eastAsia" w:ascii="仿宋_GB2312" w:hAnsi="仿宋_GB2312" w:cs="仿宋_GB2312"/>
          <w:bCs/>
          <w:snapToGrid w:val="0"/>
          <w:kern w:val="0"/>
          <w:sz w:val="32"/>
          <w:lang w:eastAsia="zh-CN"/>
        </w:rPr>
        <w:t>各县（市、区）财政局、泉州开发区管委会财政局、泉州台商投资区管委会财政金融与国资局，各有关单位</w:t>
      </w:r>
      <w:bookmarkEnd w:id="7"/>
      <w:r>
        <w:rPr>
          <w:rFonts w:hint="eastAsia" w:ascii="仿宋_GB2312" w:hAnsi="仿宋_GB2312" w:eastAsia="仿宋" w:cs="仿宋_GB2312"/>
          <w:bCs/>
          <w:snapToGrid w:val="0"/>
          <w:kern w:val="0"/>
          <w:sz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根据《福建省行政规范性文件备案审查办法》（</w:t>
      </w:r>
      <w:r>
        <w:rPr>
          <w:rFonts w:hint="eastAsia" w:ascii="仿宋" w:hAnsi="仿宋" w:eastAsia="仿宋" w:cs="仿宋"/>
          <w:snapToGrid w:val="0"/>
          <w:kern w:val="0"/>
          <w:sz w:val="32"/>
          <w:szCs w:val="32"/>
          <w:lang w:eastAsia="zh-CN"/>
        </w:rPr>
        <w:t>福建</w:t>
      </w:r>
      <w:r>
        <w:rPr>
          <w:rFonts w:hint="eastAsia" w:ascii="仿宋" w:hAnsi="仿宋" w:eastAsia="仿宋" w:cs="仿宋"/>
          <w:snapToGrid w:val="0"/>
          <w:kern w:val="0"/>
          <w:sz w:val="32"/>
          <w:szCs w:val="32"/>
        </w:rPr>
        <w:t>省</w:t>
      </w:r>
      <w:r>
        <w:rPr>
          <w:rFonts w:hint="eastAsia" w:ascii="仿宋" w:hAnsi="仿宋" w:eastAsia="仿宋" w:cs="仿宋"/>
          <w:snapToGrid w:val="0"/>
          <w:kern w:val="0"/>
          <w:sz w:val="32"/>
          <w:szCs w:val="32"/>
          <w:lang w:eastAsia="zh-CN"/>
        </w:rPr>
        <w:t>人民</w:t>
      </w:r>
      <w:r>
        <w:rPr>
          <w:rFonts w:hint="eastAsia" w:ascii="仿宋" w:hAnsi="仿宋" w:eastAsia="仿宋" w:cs="仿宋"/>
          <w:snapToGrid w:val="0"/>
          <w:kern w:val="0"/>
          <w:sz w:val="32"/>
          <w:szCs w:val="32"/>
        </w:rPr>
        <w:t>政府令219 号）和《泉州市人民政府关于印发泉州市行政规范性文件管理规定的通知》（泉政规〔2022〕3号）有关规定，对202</w:t>
      </w:r>
      <w:r>
        <w:rPr>
          <w:rFonts w:hint="eastAsia" w:ascii="仿宋" w:hAnsi="仿宋" w:eastAsia="仿宋" w:cs="仿宋"/>
          <w:snapToGrid w:val="0"/>
          <w:kern w:val="0"/>
          <w:sz w:val="32"/>
          <w:szCs w:val="32"/>
          <w:lang w:val="en-US" w:eastAsia="zh-CN"/>
        </w:rPr>
        <w:t>4</w:t>
      </w:r>
      <w:r>
        <w:rPr>
          <w:rFonts w:hint="eastAsia" w:ascii="仿宋" w:hAnsi="仿宋" w:eastAsia="仿宋" w:cs="仿宋"/>
          <w:snapToGrid w:val="0"/>
          <w:kern w:val="0"/>
          <w:sz w:val="32"/>
          <w:szCs w:val="32"/>
        </w:rPr>
        <w:t>年12月2</w:t>
      </w:r>
      <w:r>
        <w:rPr>
          <w:rFonts w:hint="eastAsia" w:ascii="仿宋" w:hAnsi="仿宋" w:eastAsia="仿宋" w:cs="仿宋"/>
          <w:snapToGrid w:val="0"/>
          <w:kern w:val="0"/>
          <w:sz w:val="32"/>
          <w:szCs w:val="32"/>
          <w:lang w:val="en-US" w:eastAsia="zh-CN"/>
        </w:rPr>
        <w:t>5</w:t>
      </w:r>
      <w:r>
        <w:rPr>
          <w:rFonts w:hint="eastAsia" w:ascii="仿宋" w:hAnsi="仿宋" w:eastAsia="仿宋" w:cs="仿宋"/>
          <w:snapToGrid w:val="0"/>
          <w:kern w:val="0"/>
          <w:sz w:val="32"/>
          <w:szCs w:val="32"/>
        </w:rPr>
        <w:t>日前以市财政局名义单独制定的行政规范性文件以及由市财政局牵头与其他机关联合制定的行政规范性文件共</w:t>
      </w:r>
      <w:r>
        <w:rPr>
          <w:rFonts w:hint="eastAsia" w:ascii="仿宋" w:hAnsi="仿宋" w:eastAsia="仿宋" w:cs="仿宋"/>
          <w:snapToGrid w:val="0"/>
          <w:kern w:val="0"/>
          <w:sz w:val="32"/>
          <w:szCs w:val="32"/>
          <w:lang w:val="en-US" w:eastAsia="zh-CN"/>
        </w:rPr>
        <w:t>59</w:t>
      </w:r>
      <w:r>
        <w:rPr>
          <w:rFonts w:hint="eastAsia" w:ascii="仿宋" w:hAnsi="仿宋" w:eastAsia="仿宋" w:cs="仿宋"/>
          <w:snapToGrid w:val="0"/>
          <w:kern w:val="0"/>
          <w:sz w:val="32"/>
          <w:szCs w:val="32"/>
        </w:rPr>
        <w:t>件进行清理，清理结果已于202</w:t>
      </w:r>
      <w:r>
        <w:rPr>
          <w:rFonts w:hint="eastAsia" w:ascii="仿宋" w:hAnsi="仿宋" w:eastAsia="仿宋" w:cs="仿宋"/>
          <w:snapToGrid w:val="0"/>
          <w:kern w:val="0"/>
          <w:sz w:val="32"/>
          <w:szCs w:val="32"/>
          <w:lang w:val="en-US" w:eastAsia="zh-CN"/>
        </w:rPr>
        <w:t>4</w:t>
      </w:r>
      <w:r>
        <w:rPr>
          <w:rFonts w:hint="eastAsia" w:ascii="仿宋" w:hAnsi="仿宋" w:eastAsia="仿宋" w:cs="仿宋"/>
          <w:snapToGrid w:val="0"/>
          <w:kern w:val="0"/>
          <w:sz w:val="32"/>
          <w:szCs w:val="32"/>
        </w:rPr>
        <w:t>年12月2</w:t>
      </w:r>
      <w:r>
        <w:rPr>
          <w:rFonts w:hint="eastAsia" w:ascii="仿宋" w:hAnsi="仿宋" w:eastAsia="仿宋" w:cs="仿宋"/>
          <w:snapToGrid w:val="0"/>
          <w:kern w:val="0"/>
          <w:sz w:val="32"/>
          <w:szCs w:val="32"/>
          <w:lang w:val="en-US" w:eastAsia="zh-CN"/>
        </w:rPr>
        <w:t>7</w:t>
      </w:r>
      <w:r>
        <w:rPr>
          <w:rFonts w:hint="eastAsia" w:ascii="仿宋" w:hAnsi="仿宋" w:eastAsia="仿宋" w:cs="仿宋"/>
          <w:snapToGrid w:val="0"/>
          <w:kern w:val="0"/>
          <w:sz w:val="32"/>
          <w:szCs w:val="32"/>
        </w:rPr>
        <w:t>日经局长办公会议研究通过。现公布如下：</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一、保留（继续有效）的行政规范性文件</w:t>
      </w:r>
      <w:r>
        <w:rPr>
          <w:rFonts w:hint="eastAsia" w:ascii="仿宋" w:hAnsi="仿宋" w:eastAsia="仿宋" w:cs="仿宋"/>
          <w:snapToGrid w:val="0"/>
          <w:kern w:val="0"/>
          <w:sz w:val="32"/>
          <w:szCs w:val="32"/>
          <w:lang w:val="en-US" w:eastAsia="zh-CN"/>
        </w:rPr>
        <w:t>50</w:t>
      </w:r>
      <w:r>
        <w:rPr>
          <w:rFonts w:hint="eastAsia" w:ascii="仿宋" w:hAnsi="仿宋" w:eastAsia="仿宋" w:cs="仿宋"/>
          <w:snapToGrid w:val="0"/>
          <w:kern w:val="0"/>
          <w:sz w:val="32"/>
          <w:szCs w:val="32"/>
        </w:rPr>
        <w:t>件（见附件1）；</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二、修改的行政规范性文件</w:t>
      </w:r>
      <w:r>
        <w:rPr>
          <w:rFonts w:hint="eastAsia" w:ascii="仿宋" w:hAnsi="仿宋" w:eastAsia="仿宋" w:cs="仿宋"/>
          <w:snapToGrid w:val="0"/>
          <w:kern w:val="0"/>
          <w:sz w:val="32"/>
          <w:szCs w:val="32"/>
          <w:lang w:val="en-US" w:eastAsia="zh-CN"/>
        </w:rPr>
        <w:t>5</w:t>
      </w:r>
      <w:r>
        <w:rPr>
          <w:rFonts w:hint="eastAsia" w:ascii="仿宋" w:hAnsi="仿宋" w:eastAsia="仿宋" w:cs="仿宋"/>
          <w:snapToGrid w:val="0"/>
          <w:kern w:val="0"/>
          <w:sz w:val="32"/>
          <w:szCs w:val="32"/>
        </w:rPr>
        <w:t>件（见附件2）；</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三、废止的行政规范性文件</w:t>
      </w:r>
      <w:r>
        <w:rPr>
          <w:rFonts w:hint="eastAsia" w:ascii="仿宋" w:hAnsi="仿宋" w:eastAsia="仿宋" w:cs="仿宋"/>
          <w:snapToGrid w:val="0"/>
          <w:kern w:val="0"/>
          <w:sz w:val="32"/>
          <w:szCs w:val="32"/>
          <w:lang w:val="en-US" w:eastAsia="zh-CN"/>
        </w:rPr>
        <w:t>4</w:t>
      </w:r>
      <w:r>
        <w:rPr>
          <w:rFonts w:hint="eastAsia" w:ascii="仿宋" w:hAnsi="仿宋" w:eastAsia="仿宋" w:cs="仿宋"/>
          <w:snapToGrid w:val="0"/>
          <w:kern w:val="0"/>
          <w:sz w:val="32"/>
          <w:szCs w:val="32"/>
        </w:rPr>
        <w:t>件（见附件3）。</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废止的行政规范性文件，自本通知印发之日起一律停止执行，不再作为行政管理的依据。 </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仿宋"/>
          <w:snapToGrid w:val="0"/>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附件：1.保留（继续有效）的行政规范性文件目录</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2.修改的行政规范性文件目录</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3.废止的行政规范性文件目录</w:t>
      </w:r>
    </w:p>
    <w:p>
      <w:pPr>
        <w:keepNext w:val="0"/>
        <w:keepLines w:val="0"/>
        <w:pageBreakBefore w:val="0"/>
        <w:widowControl w:val="0"/>
        <w:kinsoku/>
        <w:wordWrap w:val="0"/>
        <w:overflowPunct/>
        <w:topLinePunct w:val="0"/>
        <w:autoSpaceDE/>
        <w:autoSpaceDN/>
        <w:bidi w:val="0"/>
        <w:adjustRightInd w:val="0"/>
        <w:snapToGrid w:val="0"/>
        <w:spacing w:line="560" w:lineRule="exact"/>
        <w:ind w:firstLine="1580" w:firstLineChars="5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 w:hAnsi="仿宋" w:eastAsia="仿宋" w:cs="仿宋"/>
          <w:sz w:val="32"/>
          <w:szCs w:val="32"/>
          <w:lang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4740" w:firstLineChars="1500"/>
        <w:textAlignment w:val="auto"/>
        <w:rPr>
          <w:rFonts w:hint="eastAsia" w:ascii="仿宋" w:hAnsi="仿宋" w:eastAsia="仿宋" w:cs="仿宋"/>
          <w:sz w:val="32"/>
          <w:szCs w:val="32"/>
          <w:lang w:eastAsia="zh-CN" w:bidi="ar"/>
        </w:rPr>
      </w:pPr>
      <w:r>
        <w:rPr>
          <w:rFonts w:hint="eastAsia" w:ascii="仿宋" w:hAnsi="仿宋" w:eastAsia="仿宋" w:cs="仿宋"/>
          <w:sz w:val="32"/>
          <w:szCs w:val="32"/>
          <w:lang w:eastAsia="zh-CN" w:bidi="ar"/>
        </w:rPr>
        <w:t>　</w:t>
      </w:r>
      <w:r>
        <w:rPr>
          <w:rFonts w:hint="eastAsia" w:ascii="仿宋" w:hAnsi="仿宋" w:eastAsia="仿宋" w:cs="仿宋"/>
          <w:spacing w:val="1"/>
          <w:w w:val="23"/>
          <w:kern w:val="0"/>
          <w:sz w:val="32"/>
          <w:szCs w:val="32"/>
          <w:fitText w:val="190" w:id="76837502"/>
          <w:lang w:val="en-US" w:eastAsia="zh-CN" w:bidi="ar"/>
        </w:rPr>
        <w:t>　 　</w:t>
      </w:r>
      <w:r>
        <w:rPr>
          <w:rFonts w:hint="eastAsia" w:ascii="仿宋" w:hAnsi="仿宋" w:eastAsia="仿宋" w:cs="仿宋"/>
          <w:sz w:val="32"/>
          <w:szCs w:val="32"/>
          <w:lang w:eastAsia="zh-CN" w:bidi="ar"/>
        </w:rPr>
        <w:t>泉州市财政局</w:t>
      </w:r>
    </w:p>
    <w:p>
      <w:pPr>
        <w:keepNext w:val="0"/>
        <w:keepLines w:val="0"/>
        <w:pageBreakBefore w:val="0"/>
        <w:widowControl w:val="0"/>
        <w:kinsoku/>
        <w:overflowPunct/>
        <w:topLinePunct w:val="0"/>
        <w:autoSpaceDE/>
        <w:autoSpaceDN/>
        <w:bidi w:val="0"/>
        <w:adjustRightInd w:val="0"/>
        <w:snapToGrid w:val="0"/>
        <w:spacing w:line="560" w:lineRule="exact"/>
        <w:ind w:firstLine="4424" w:firstLineChars="1400"/>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　</w:t>
      </w:r>
      <w:r>
        <w:rPr>
          <w:rFonts w:hint="eastAsia" w:ascii="仿宋" w:hAnsi="仿宋" w:eastAsia="仿宋" w:cs="仿宋"/>
          <w:spacing w:val="1"/>
          <w:w w:val="27"/>
          <w:kern w:val="0"/>
          <w:sz w:val="32"/>
          <w:szCs w:val="32"/>
          <w:fitText w:val="221" w:id="1269520036"/>
          <w:lang w:val="en-US" w:eastAsia="zh-CN" w:bidi="ar"/>
        </w:rPr>
        <w:t>　 　</w:t>
      </w:r>
      <w:r>
        <w:rPr>
          <w:rFonts w:hint="eastAsia" w:ascii="仿宋" w:hAnsi="仿宋" w:eastAsia="仿宋" w:cs="仿宋"/>
          <w:sz w:val="32"/>
          <w:szCs w:val="32"/>
          <w:lang w:val="en-US" w:eastAsia="zh-CN" w:bidi="ar"/>
        </w:rPr>
        <w:t>2024年</w:t>
      </w:r>
      <w:r>
        <w:rPr>
          <w:rFonts w:hint="eastAsia" w:ascii="仿宋" w:hAnsi="仿宋" w:cs="仿宋"/>
          <w:sz w:val="32"/>
          <w:szCs w:val="32"/>
          <w:lang w:val="en-US" w:eastAsia="zh-CN" w:bidi="ar"/>
        </w:rPr>
        <w:t>12</w:t>
      </w:r>
      <w:r>
        <w:rPr>
          <w:rFonts w:hint="eastAsia" w:ascii="仿宋" w:hAnsi="仿宋" w:eastAsia="仿宋" w:cs="仿宋"/>
          <w:sz w:val="32"/>
          <w:szCs w:val="32"/>
          <w:lang w:val="en-US" w:eastAsia="zh-CN" w:bidi="ar"/>
        </w:rPr>
        <w:t>月</w:t>
      </w:r>
      <w:r>
        <w:rPr>
          <w:rFonts w:hint="eastAsia" w:ascii="仿宋" w:hAnsi="仿宋" w:cs="仿宋"/>
          <w:sz w:val="32"/>
          <w:szCs w:val="32"/>
          <w:lang w:val="en-US" w:eastAsia="zh-CN" w:bidi="ar"/>
        </w:rPr>
        <w:t>28</w:t>
      </w:r>
      <w:r>
        <w:rPr>
          <w:rFonts w:hint="eastAsia" w:ascii="仿宋" w:hAnsi="仿宋" w:eastAsia="仿宋" w:cs="仿宋"/>
          <w:sz w:val="32"/>
          <w:szCs w:val="32"/>
          <w:lang w:val="en-US" w:eastAsia="zh-CN" w:bidi="ar"/>
        </w:rPr>
        <w:t>日</w:t>
      </w:r>
    </w:p>
    <w:p>
      <w:pPr>
        <w:autoSpaceDE w:val="0"/>
        <w:snapToGrid w:val="0"/>
        <w:spacing w:line="240" w:lineRule="auto"/>
        <w:jc w:val="both"/>
        <w:rPr>
          <w:rFonts w:hint="eastAsia" w:ascii="方正小标宋简体" w:eastAsia="方正小标宋简体"/>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587" w:gutter="0"/>
          <w:pgNumType w:fmt="numberInDash"/>
          <w:cols w:space="720" w:num="1"/>
          <w:rtlGutter w:val="0"/>
          <w:docGrid w:type="linesAndChars" w:linePitch="587" w:charSpace="-849"/>
        </w:sectPr>
      </w:pPr>
    </w:p>
    <w:p>
      <w:pPr>
        <w:pStyle w:val="2"/>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Cs w:val="32"/>
        </w:rPr>
      </w:pPr>
    </w:p>
    <w:p>
      <w:pPr>
        <w:snapToGrid w:val="0"/>
        <w:spacing w:after="500"/>
        <w:rPr>
          <w:rFonts w:hint="default" w:eastAsia="仿宋"/>
          <w:szCs w:val="32"/>
          <w:lang w:val="en-US" w:eastAsia="zh-CN"/>
        </w:rPr>
      </w:pPr>
    </w:p>
    <w:p>
      <w:pPr>
        <w:pStyle w:val="2"/>
        <w:rPr>
          <w:rFonts w:hint="default" w:eastAsia="仿宋"/>
          <w:szCs w:val="32"/>
          <w:lang w:val="en-US" w:eastAsia="zh-CN"/>
        </w:rPr>
      </w:pPr>
    </w:p>
    <w:p>
      <w:pPr>
        <w:pStyle w:val="2"/>
        <w:rPr>
          <w:rFonts w:hint="default" w:eastAsia="仿宋"/>
          <w:szCs w:val="32"/>
          <w:lang w:val="en-US" w:eastAsia="zh-CN"/>
        </w:rPr>
      </w:pPr>
    </w:p>
    <w:p>
      <w:pPr>
        <w:pStyle w:val="2"/>
        <w:rPr>
          <w:rFonts w:hint="default" w:eastAsia="仿宋"/>
          <w:szCs w:val="32"/>
          <w:lang w:val="en-US" w:eastAsia="zh-CN"/>
        </w:rPr>
      </w:pPr>
    </w:p>
    <w:p>
      <w:pPr>
        <w:pStyle w:val="2"/>
        <w:rPr>
          <w:rFonts w:hint="default" w:eastAsia="仿宋"/>
          <w:szCs w:val="32"/>
          <w:lang w:val="en-US" w:eastAsia="zh-CN"/>
        </w:rPr>
      </w:pPr>
    </w:p>
    <w:p>
      <w:pPr>
        <w:pStyle w:val="2"/>
        <w:rPr>
          <w:rFonts w:hint="default" w:eastAsia="仿宋"/>
          <w:szCs w:val="32"/>
          <w:lang w:val="en-US" w:eastAsia="zh-CN"/>
        </w:rPr>
      </w:pPr>
    </w:p>
    <w:p>
      <w:pPr>
        <w:pStyle w:val="2"/>
        <w:rPr>
          <w:rFonts w:hint="default" w:eastAsia="仿宋"/>
          <w:szCs w:val="32"/>
          <w:lang w:val="en-US" w:eastAsia="zh-CN"/>
        </w:rPr>
      </w:pPr>
    </w:p>
    <w:p>
      <w:pPr>
        <w:pStyle w:val="2"/>
        <w:rPr>
          <w:rFonts w:hint="default" w:eastAsia="仿宋"/>
          <w:szCs w:val="32"/>
          <w:lang w:val="en-US" w:eastAsia="zh-CN"/>
        </w:rPr>
      </w:pPr>
    </w:p>
    <w:p>
      <w:pPr>
        <w:pStyle w:val="2"/>
        <w:rPr>
          <w:rFonts w:hint="default" w:eastAsia="仿宋"/>
          <w:szCs w:val="32"/>
          <w:lang w:val="en-US" w:eastAsia="zh-CN"/>
        </w:rPr>
      </w:pPr>
    </w:p>
    <w:p>
      <w:pPr>
        <w:pStyle w:val="2"/>
        <w:rPr>
          <w:rFonts w:hint="default" w:eastAsia="仿宋"/>
          <w:szCs w:val="32"/>
          <w:lang w:val="en-US" w:eastAsia="zh-CN"/>
        </w:rPr>
      </w:pPr>
    </w:p>
    <w:p>
      <w:pPr>
        <w:pStyle w:val="2"/>
        <w:rPr>
          <w:rFonts w:hint="default" w:eastAsia="仿宋"/>
          <w:szCs w:val="32"/>
          <w:lang w:val="en-US" w:eastAsia="zh-CN"/>
        </w:rPr>
      </w:pPr>
    </w:p>
    <w:p>
      <w:pPr>
        <w:pStyle w:val="2"/>
        <w:rPr>
          <w:rFonts w:hint="default" w:eastAsia="仿宋"/>
          <w:szCs w:val="32"/>
          <w:lang w:val="en-US" w:eastAsia="zh-CN"/>
        </w:rPr>
      </w:pPr>
    </w:p>
    <w:p>
      <w:pPr>
        <w:pStyle w:val="2"/>
        <w:rPr>
          <w:rFonts w:hint="default" w:eastAsia="仿宋"/>
          <w:szCs w:val="32"/>
          <w:lang w:val="en-US" w:eastAsia="zh-CN"/>
        </w:rPr>
      </w:pPr>
    </w:p>
    <w:p>
      <w:pPr>
        <w:pStyle w:val="2"/>
        <w:rPr>
          <w:rFonts w:hint="default" w:eastAsia="仿宋"/>
          <w:szCs w:val="32"/>
          <w:lang w:val="en-US" w:eastAsia="zh-CN"/>
        </w:rPr>
      </w:pPr>
    </w:p>
    <w:p>
      <w:pPr>
        <w:pStyle w:val="2"/>
        <w:rPr>
          <w:rFonts w:hint="default" w:eastAsia="仿宋"/>
          <w:szCs w:val="32"/>
          <w:lang w:val="en-US" w:eastAsia="zh-CN"/>
        </w:rPr>
      </w:pPr>
    </w:p>
    <w:p>
      <w:pPr>
        <w:pStyle w:val="2"/>
        <w:rPr>
          <w:rFonts w:hint="default" w:eastAsia="仿宋"/>
          <w:szCs w:val="32"/>
          <w:lang w:val="en-US" w:eastAsia="zh-CN"/>
        </w:rPr>
      </w:pPr>
    </w:p>
    <w:p>
      <w:pPr>
        <w:pStyle w:val="2"/>
        <w:rPr>
          <w:rFonts w:hint="default" w:eastAsia="仿宋"/>
          <w:szCs w:val="32"/>
          <w:lang w:val="en-US" w:eastAsia="zh-CN"/>
        </w:rPr>
      </w:pPr>
    </w:p>
    <w:p>
      <w:pPr>
        <w:keepNext w:val="0"/>
        <w:keepLines w:val="0"/>
        <w:pageBreakBefore w:val="0"/>
        <w:widowControl w:val="0"/>
        <w:kinsoku/>
        <w:wordWrap/>
        <w:overflowPunct/>
        <w:topLinePunct w:val="0"/>
        <w:autoSpaceDE/>
        <w:autoSpaceDN/>
        <w:bidi w:val="0"/>
        <w:adjustRightInd/>
        <w:snapToGrid w:val="0"/>
        <w:spacing w:after="140" w:line="240" w:lineRule="auto"/>
        <w:textAlignment w:val="auto"/>
        <w:rPr>
          <w:rFonts w:hint="eastAsia" w:ascii="宋体" w:hAnsi="宋体" w:eastAsia="方正仿宋简体" w:cs="宋体"/>
          <w:spacing w:val="10"/>
          <w:sz w:val="32"/>
        </w:rPr>
      </w:pPr>
    </w:p>
    <w:p>
      <w:pPr>
        <w:pBdr>
          <w:top w:val="single" w:color="auto" w:sz="4" w:space="1"/>
          <w:bottom w:val="single" w:color="auto" w:sz="4" w:space="1"/>
        </w:pBdr>
        <w:ind w:firstLine="276" w:firstLineChars="100"/>
        <w:rPr>
          <w:rFonts w:hint="eastAsia" w:ascii="仿宋" w:hAnsi="仿宋" w:eastAsia="仿宋" w:cs="方正仿宋_GBK"/>
          <w:sz w:val="28"/>
          <w:szCs w:val="28"/>
        </w:rPr>
      </w:pPr>
      <w:r>
        <w:rPr>
          <w:rFonts w:hint="eastAsia" w:ascii="仿宋" w:hAnsi="仿宋" w:eastAsia="仿宋" w:cs="方正仿宋_GBK"/>
          <w:sz w:val="28"/>
          <w:szCs w:val="28"/>
        </w:rPr>
        <w:t>抄送：</w:t>
      </w:r>
      <w:bookmarkStart w:id="8" w:name="fcs"/>
      <w:bookmarkEnd w:id="8"/>
      <w:r>
        <w:rPr>
          <w:rFonts w:hint="eastAsia" w:ascii="仿宋" w:hAnsi="仿宋" w:cs="仿宋"/>
          <w:sz w:val="28"/>
          <w:szCs w:val="28"/>
          <w:lang w:bidi="ar"/>
        </w:rPr>
        <w:t>省财政厅，市司法局</w:t>
      </w:r>
      <w:r>
        <w:rPr>
          <w:rFonts w:hint="eastAsia" w:ascii="仿宋" w:hAnsi="仿宋" w:eastAsia="仿宋" w:cs="仿宋"/>
          <w:kern w:val="2"/>
          <w:sz w:val="28"/>
          <w:szCs w:val="28"/>
          <w:lang w:val="en-US" w:eastAsia="zh-CN" w:bidi="ar"/>
        </w:rPr>
        <w:t>。</w:t>
      </w:r>
    </w:p>
    <w:p>
      <w:pPr>
        <w:pBdr>
          <w:bottom w:val="single" w:color="auto" w:sz="4" w:space="1"/>
        </w:pBdr>
        <w:ind w:firstLine="276" w:firstLineChars="100"/>
        <w:rPr>
          <w:rFonts w:hint="eastAsia" w:ascii="仿宋" w:hAnsi="仿宋" w:eastAsia="仿宋" w:cs="方正仿宋_GBK"/>
          <w:sz w:val="28"/>
          <w:szCs w:val="28"/>
        </w:rPr>
      </w:pPr>
      <w:r>
        <w:rPr>
          <w:rFonts w:hint="eastAsia" w:ascii="仿宋" w:hAnsi="仿宋" w:eastAsia="仿宋" w:cs="方正仿宋_GBK"/>
          <w:sz w:val="28"/>
          <w:szCs w:val="28"/>
        </w:rPr>
        <w:t xml:space="preserve">泉州市财政局办公室         </w:t>
      </w:r>
      <w:r>
        <w:rPr>
          <w:rFonts w:hint="eastAsia" w:ascii="仿宋" w:hAnsi="仿宋" w:eastAsia="仿宋" w:cs="方正仿宋_GBK"/>
          <w:sz w:val="28"/>
          <w:szCs w:val="28"/>
          <w:lang w:val="en-US" w:eastAsia="zh-CN"/>
        </w:rPr>
        <w:t xml:space="preserve">  </w:t>
      </w:r>
      <w:r>
        <w:rPr>
          <w:rFonts w:hint="eastAsia" w:ascii="仿宋" w:hAnsi="仿宋" w:eastAsia="仿宋" w:cs="方正仿宋_GBK"/>
          <w:sz w:val="28"/>
          <w:szCs w:val="28"/>
        </w:rPr>
        <w:t xml:space="preserve">          202</w:t>
      </w:r>
      <w:r>
        <w:rPr>
          <w:rFonts w:hint="default" w:ascii="仿宋" w:hAnsi="仿宋" w:eastAsia="仿宋" w:cs="方正仿宋_GBK"/>
          <w:sz w:val="28"/>
          <w:szCs w:val="28"/>
          <w:lang w:val="en"/>
        </w:rPr>
        <w:t>4</w:t>
      </w:r>
      <w:r>
        <w:rPr>
          <w:rFonts w:hint="eastAsia" w:ascii="仿宋" w:hAnsi="仿宋" w:eastAsia="仿宋" w:cs="方正仿宋_GBK"/>
          <w:sz w:val="28"/>
          <w:szCs w:val="28"/>
        </w:rPr>
        <w:t>年</w:t>
      </w:r>
      <w:r>
        <w:rPr>
          <w:rFonts w:hint="eastAsia" w:ascii="仿宋" w:hAnsi="仿宋" w:cs="方正仿宋_GBK"/>
          <w:sz w:val="28"/>
          <w:szCs w:val="28"/>
          <w:lang w:val="en-US" w:eastAsia="zh-CN"/>
        </w:rPr>
        <w:t>12</w:t>
      </w:r>
      <w:r>
        <w:rPr>
          <w:rFonts w:hint="eastAsia" w:ascii="仿宋" w:hAnsi="仿宋" w:eastAsia="仿宋" w:cs="方正仿宋_GBK"/>
          <w:sz w:val="28"/>
          <w:szCs w:val="28"/>
        </w:rPr>
        <w:t>月</w:t>
      </w:r>
      <w:r>
        <w:rPr>
          <w:rFonts w:hint="eastAsia" w:ascii="仿宋" w:hAnsi="仿宋" w:cs="方正仿宋_GBK"/>
          <w:sz w:val="28"/>
          <w:szCs w:val="28"/>
          <w:lang w:val="en-US" w:eastAsia="zh-CN"/>
        </w:rPr>
        <w:t>28</w:t>
      </w:r>
      <w:r>
        <w:rPr>
          <w:rFonts w:hint="eastAsia" w:ascii="仿宋" w:hAnsi="仿宋" w:eastAsia="仿宋" w:cs="方正仿宋_GBK"/>
          <w:sz w:val="28"/>
          <w:szCs w:val="28"/>
        </w:rPr>
        <w:t>日印发</w:t>
      </w:r>
    </w:p>
    <w:p>
      <w:pPr>
        <w:snapToGrid w:val="0"/>
        <w:rPr>
          <w:rFonts w:hint="eastAsia"/>
          <w:sz w:val="2"/>
          <w:szCs w:val="2"/>
        </w:rPr>
      </w:pPr>
    </w:p>
    <w:p/>
    <w:sectPr>
      <w:footerReference r:id="rId9" w:type="default"/>
      <w:footerReference r:id="rId10" w:type="even"/>
      <w:pgSz w:w="11906" w:h="16838"/>
      <w:pgMar w:top="2098" w:right="1474" w:bottom="1984" w:left="1587" w:header="851" w:footer="1587" w:gutter="0"/>
      <w:pgNumType w:fmt="numberInDash" w:start="7"/>
      <w:cols w:space="72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ascii="仿宋" w:hAnsi="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5244465</wp:posOffset>
              </wp:positionH>
              <wp:positionV relativeFrom="paragraph">
                <wp:posOffset>85090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12.95pt;margin-top:6.7pt;height:144pt;width:144pt;mso-position-horizontal-relative:margin;mso-wrap-style:none;z-index:251661312;mso-width-relative:page;mso-height-relative:page;" filled="f" stroked="f" coordsize="21600,21600" o:gfxdata="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mU+8DWAAAACwEAAA8AAAAAAAAAAQAgAAAAIgAAAGRycy9kb3du&#10;cmV2LnhtbFBLAQIUABQAAAAIAIdO4kDkov7PyAEAAJkDAAAOAAAAAAAAAAEAIAAAACUBAABkcnMv&#10;ZTJvRG9jLnhtbFBLBQYAAAAABgAGAFkBAABf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left"/>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jc w:val="left"/>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pP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ascii="仿宋" w:hAnsi="仿宋"/>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posOffset>5244465</wp:posOffset>
              </wp:positionH>
              <wp:positionV relativeFrom="paragraph">
                <wp:posOffset>63500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12.95pt;margin-top:5pt;height:144pt;width:144pt;mso-position-horizontal-relative:margin;mso-wrap-style:none;z-index:251664384;mso-width-relative:page;mso-height-relative:page;" filled="f" stroked="f" coordsize="21600,21600" o:gfxdata="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newT0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left"/>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3"/>
                      <w:jc w:val="left"/>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3"/>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E47A5"/>
    <w:rsid w:val="544E47A5"/>
    <w:rsid w:val="7680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hint="eastAsia" w:ascii="宋体" w:hAnsi="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2024-12-31T01:40:00Z</dcterms:created>
  <dc:creator>苏丽萱</dc:creator>
  <cp:lastModifiedBy>苏丽萱</cp:lastModifiedBy>
  <dcterms:modified xsi:type="dcterms:W3CDTF">2024-12-31T01:41:51Z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