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7108E">
      <w:pPr>
        <w:pStyle w:val="15"/>
        <w:rPr>
          <w:rFonts w:hint="eastAsia"/>
          <w:highlight w:val="none"/>
          <w:lang w:val="en-US" w:eastAsia="zh-Hans"/>
        </w:rPr>
      </w:pPr>
      <w:r>
        <w:rPr>
          <w:highlight w:val="none"/>
        </w:rPr>
        <w:br w:type="textWrapping"/>
      </w:r>
    </w:p>
    <w:p w14:paraId="3DDFE2FC">
      <w:pPr>
        <w:pStyle w:val="15"/>
        <w:rPr>
          <w:highlight w:val="none"/>
        </w:rPr>
      </w:pPr>
    </w:p>
    <w:p w14:paraId="54DAA3FD">
      <w:pPr>
        <w:pStyle w:val="15"/>
        <w:rPr>
          <w:highlight w:val="none"/>
        </w:rPr>
      </w:pPr>
    </w:p>
    <w:p w14:paraId="19B99D02">
      <w:pPr>
        <w:pStyle w:val="15"/>
        <w:jc w:val="center"/>
        <w:outlineLvl w:val="0"/>
        <w:rPr>
          <w:highlight w:val="none"/>
        </w:rPr>
      </w:pPr>
      <w:r>
        <w:rPr>
          <w:b/>
          <w:sz w:val="48"/>
          <w:highlight w:val="none"/>
        </w:rPr>
        <w:t>单一来源采购文件</w:t>
      </w:r>
    </w:p>
    <w:p w14:paraId="342E327C">
      <w:pPr>
        <w:pStyle w:val="15"/>
        <w:jc w:val="center"/>
        <w:outlineLvl w:val="0"/>
        <w:rPr>
          <w:highlight w:val="none"/>
        </w:rPr>
      </w:pPr>
      <w:r>
        <w:rPr>
          <w:b/>
          <w:sz w:val="48"/>
          <w:highlight w:val="none"/>
        </w:rPr>
        <w:t>（服务类）</w:t>
      </w:r>
    </w:p>
    <w:p w14:paraId="548DC45A">
      <w:pPr>
        <w:pStyle w:val="15"/>
        <w:jc w:val="center"/>
        <w:outlineLvl w:val="2"/>
        <w:rPr>
          <w:rFonts w:hint="eastAsia" w:eastAsiaTheme="minorEastAsia"/>
          <w:highlight w:val="none"/>
          <w:lang w:eastAsia="zh-CN"/>
        </w:rPr>
      </w:pPr>
      <w:r>
        <w:rPr>
          <w:b/>
          <w:sz w:val="28"/>
          <w:highlight w:val="none"/>
        </w:rPr>
        <w:t>项目名称：</w:t>
      </w:r>
      <w:r>
        <w:rPr>
          <w:rFonts w:hint="eastAsia"/>
          <w:b/>
          <w:sz w:val="28"/>
          <w:highlight w:val="none"/>
          <w:lang w:eastAsia="zh-CN"/>
        </w:rPr>
        <w:t>泉州市财政局远程异地评审扩容项目</w:t>
      </w:r>
    </w:p>
    <w:p w14:paraId="6569AD56">
      <w:pPr>
        <w:pStyle w:val="15"/>
        <w:jc w:val="center"/>
        <w:outlineLvl w:val="2"/>
        <w:rPr>
          <w:rFonts w:hint="default" w:eastAsiaTheme="minorEastAsia"/>
          <w:highlight w:val="none"/>
          <w:lang w:val="en-US" w:eastAsia="zh-CN"/>
        </w:rPr>
      </w:pPr>
      <w:r>
        <w:rPr>
          <w:b/>
          <w:sz w:val="28"/>
          <w:highlight w:val="none"/>
        </w:rPr>
        <w:t>项目编号：</w:t>
      </w:r>
      <w:r>
        <w:rPr>
          <w:rFonts w:hint="eastAsia"/>
          <w:b/>
          <w:sz w:val="28"/>
          <w:highlight w:val="none"/>
          <w:lang w:val="en-US" w:eastAsia="zh-CN"/>
        </w:rPr>
        <w:t>QZCGD2025003</w:t>
      </w:r>
    </w:p>
    <w:p w14:paraId="640B6E30">
      <w:pPr>
        <w:pStyle w:val="15"/>
        <w:jc w:val="center"/>
        <w:outlineLvl w:val="2"/>
        <w:rPr>
          <w:rFonts w:hint="eastAsia" w:eastAsiaTheme="minorEastAsia"/>
          <w:highlight w:val="none"/>
          <w:lang w:eastAsia="zh-CN"/>
        </w:rPr>
      </w:pPr>
      <w:r>
        <w:rPr>
          <w:b/>
          <w:sz w:val="28"/>
          <w:highlight w:val="none"/>
        </w:rPr>
        <w:t>采购人：泉州市</w:t>
      </w:r>
      <w:r>
        <w:rPr>
          <w:rFonts w:hint="eastAsia"/>
          <w:b/>
          <w:sz w:val="28"/>
          <w:highlight w:val="none"/>
          <w:lang w:eastAsia="zh-CN"/>
        </w:rPr>
        <w:t>财政局</w:t>
      </w:r>
    </w:p>
    <w:p w14:paraId="3F283A0D">
      <w:pPr>
        <w:pStyle w:val="15"/>
        <w:jc w:val="center"/>
        <w:outlineLvl w:val="2"/>
        <w:rPr>
          <w:highlight w:val="none"/>
        </w:rPr>
      </w:pPr>
      <w:r>
        <w:rPr>
          <w:b/>
          <w:sz w:val="28"/>
          <w:highlight w:val="none"/>
        </w:rPr>
        <w:t>代理机构：泉州市政府采购中心</w:t>
      </w:r>
    </w:p>
    <w:p w14:paraId="74C87586">
      <w:pPr>
        <w:pStyle w:val="15"/>
        <w:jc w:val="center"/>
        <w:outlineLvl w:val="2"/>
        <w:rPr>
          <w:highlight w:val="none"/>
        </w:rPr>
      </w:pPr>
      <w:r>
        <w:rPr>
          <w:b/>
          <w:sz w:val="28"/>
          <w:highlight w:val="none"/>
        </w:rPr>
        <w:t>编制时间：202</w:t>
      </w:r>
      <w:r>
        <w:rPr>
          <w:rFonts w:hint="eastAsia"/>
          <w:b/>
          <w:sz w:val="28"/>
          <w:highlight w:val="none"/>
          <w:lang w:val="en-US" w:eastAsia="zh-CN"/>
        </w:rPr>
        <w:t>5</w:t>
      </w:r>
      <w:r>
        <w:rPr>
          <w:b/>
          <w:sz w:val="28"/>
          <w:highlight w:val="none"/>
        </w:rPr>
        <w:t>年</w:t>
      </w:r>
      <w:r>
        <w:rPr>
          <w:rFonts w:hint="eastAsia"/>
          <w:b/>
          <w:sz w:val="28"/>
          <w:highlight w:val="none"/>
          <w:lang w:val="en-US" w:eastAsia="zh-CN"/>
        </w:rPr>
        <w:t>8</w:t>
      </w:r>
      <w:r>
        <w:rPr>
          <w:b/>
          <w:sz w:val="28"/>
          <w:highlight w:val="none"/>
        </w:rPr>
        <w:t>月</w:t>
      </w:r>
    </w:p>
    <w:p w14:paraId="565324C2">
      <w:pPr>
        <w:pStyle w:val="15"/>
        <w:rPr>
          <w:highlight w:val="none"/>
        </w:rPr>
      </w:pPr>
    </w:p>
    <w:p w14:paraId="6E4243C9">
      <w:pPr>
        <w:pStyle w:val="15"/>
        <w:rPr>
          <w:highlight w:val="none"/>
        </w:rPr>
      </w:pPr>
      <w:r>
        <w:rPr>
          <w:highlight w:val="none"/>
        </w:rPr>
        <w:t xml:space="preserve"> </w:t>
      </w:r>
    </w:p>
    <w:p w14:paraId="41D30950">
      <w:pPr>
        <w:rPr>
          <w:b/>
          <w:sz w:val="36"/>
          <w:highlight w:val="none"/>
        </w:rPr>
      </w:pPr>
      <w:r>
        <w:rPr>
          <w:b/>
          <w:sz w:val="36"/>
          <w:highlight w:val="none"/>
        </w:rPr>
        <w:br w:type="page"/>
      </w:r>
    </w:p>
    <w:p w14:paraId="6EAE6F05">
      <w:pPr>
        <w:pStyle w:val="15"/>
        <w:jc w:val="center"/>
        <w:outlineLvl w:val="1"/>
        <w:rPr>
          <w:highlight w:val="none"/>
        </w:rPr>
      </w:pPr>
      <w:r>
        <w:rPr>
          <w:b/>
          <w:sz w:val="36"/>
          <w:highlight w:val="none"/>
        </w:rPr>
        <w:t>第一章  协商邀请</w:t>
      </w:r>
    </w:p>
    <w:p w14:paraId="2C7BA05C">
      <w:pPr>
        <w:pStyle w:val="15"/>
        <w:ind w:firstLine="480"/>
        <w:jc w:val="both"/>
        <w:rPr>
          <w:highlight w:val="none"/>
        </w:rPr>
      </w:pPr>
      <w:r>
        <w:rPr>
          <w:highlight w:val="none"/>
        </w:rPr>
        <w:t>泉州市政府采购中心采用单一来源采购方式组织</w:t>
      </w:r>
      <w:r>
        <w:rPr>
          <w:rFonts w:hint="eastAsia"/>
          <w:b w:val="0"/>
          <w:sz w:val="20"/>
          <w:highlight w:val="none"/>
          <w:lang w:eastAsia="zh-CN"/>
        </w:rPr>
        <w:t>泉州市财政局远程异地评审扩容项目</w:t>
      </w:r>
      <w:r>
        <w:rPr>
          <w:highlight w:val="none"/>
        </w:rPr>
        <w:t>（以下简称：“本项目或者采购项目”）的采购活动，特邀请下列供应商参加本项目特定采购包的协商。现将本项目有关事项告知如下：</w:t>
      </w:r>
    </w:p>
    <w:p w14:paraId="0143BEF8">
      <w:pPr>
        <w:pStyle w:val="15"/>
        <w:ind w:firstLine="480"/>
        <w:jc w:val="left"/>
        <w:outlineLvl w:val="2"/>
        <w:rPr>
          <w:rFonts w:hint="default" w:eastAsiaTheme="minorEastAsia"/>
          <w:highlight w:val="none"/>
          <w:lang w:val="en-US" w:eastAsia="zh-CN"/>
        </w:rPr>
      </w:pPr>
      <w:r>
        <w:rPr>
          <w:b/>
          <w:sz w:val="28"/>
          <w:highlight w:val="none"/>
        </w:rPr>
        <w:t>1、项目编号：</w:t>
      </w:r>
      <w:r>
        <w:rPr>
          <w:rFonts w:hint="eastAsia"/>
          <w:b/>
          <w:sz w:val="28"/>
          <w:highlight w:val="none"/>
          <w:lang w:val="en-US" w:eastAsia="zh-CN"/>
        </w:rPr>
        <w:t>QZCGD2025003</w:t>
      </w:r>
    </w:p>
    <w:p w14:paraId="4A472293">
      <w:pPr>
        <w:pStyle w:val="15"/>
        <w:ind w:firstLine="480"/>
        <w:jc w:val="left"/>
        <w:outlineLvl w:val="2"/>
        <w:rPr>
          <w:b/>
          <w:sz w:val="28"/>
          <w:highlight w:val="none"/>
        </w:rPr>
      </w:pPr>
      <w:r>
        <w:rPr>
          <w:b/>
          <w:sz w:val="28"/>
          <w:highlight w:val="none"/>
        </w:rPr>
        <w:t>2、项目名称：</w:t>
      </w:r>
      <w:r>
        <w:rPr>
          <w:rFonts w:hint="eastAsia"/>
          <w:b/>
          <w:sz w:val="28"/>
          <w:highlight w:val="none"/>
          <w:lang w:eastAsia="zh-CN"/>
        </w:rPr>
        <w:t>泉州市财政局远程异地评审扩容项目</w:t>
      </w:r>
    </w:p>
    <w:p w14:paraId="35A6871D">
      <w:pPr>
        <w:pStyle w:val="15"/>
        <w:ind w:firstLine="480"/>
        <w:jc w:val="left"/>
        <w:outlineLvl w:val="2"/>
        <w:rPr>
          <w:highlight w:val="none"/>
        </w:rPr>
      </w:pPr>
      <w:r>
        <w:rPr>
          <w:b/>
          <w:sz w:val="28"/>
          <w:highlight w:val="none"/>
        </w:rPr>
        <w:t>3、采购内容及要求：详见采购标的一览表及采购文件第四章。</w:t>
      </w:r>
    </w:p>
    <w:p w14:paraId="5475D2B0">
      <w:pPr>
        <w:pStyle w:val="15"/>
        <w:ind w:firstLine="480"/>
        <w:jc w:val="left"/>
        <w:outlineLvl w:val="2"/>
        <w:rPr>
          <w:highlight w:val="none"/>
        </w:rPr>
      </w:pPr>
      <w:r>
        <w:rPr>
          <w:b/>
          <w:sz w:val="28"/>
          <w:highlight w:val="none"/>
        </w:rPr>
        <w:t>4、邀请参加本项目协商的供应商名单如下：</w:t>
      </w:r>
    </w:p>
    <w:p w14:paraId="067FD2CF">
      <w:pPr>
        <w:pStyle w:val="15"/>
        <w:ind w:firstLine="480"/>
        <w:jc w:val="left"/>
        <w:rPr>
          <w:highlight w:val="none"/>
        </w:rPr>
      </w:pP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707838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20C7D89">
            <w:pPr>
              <w:pStyle w:val="15"/>
              <w:jc w:val="center"/>
              <w:rPr>
                <w:highlight w:val="none"/>
              </w:rPr>
            </w:pPr>
            <w:r>
              <w:rPr>
                <w:highlight w:val="none"/>
              </w:rPr>
              <w:t>采购包</w:t>
            </w:r>
          </w:p>
        </w:tc>
        <w:tc>
          <w:tcPr>
            <w:tcW w:w="2769" w:type="dxa"/>
          </w:tcPr>
          <w:p w14:paraId="654D5D7F">
            <w:pPr>
              <w:pStyle w:val="15"/>
              <w:jc w:val="center"/>
              <w:rPr>
                <w:highlight w:val="none"/>
              </w:rPr>
            </w:pPr>
            <w:r>
              <w:rPr>
                <w:highlight w:val="none"/>
              </w:rPr>
              <w:t>统一社会信用代码</w:t>
            </w:r>
          </w:p>
        </w:tc>
        <w:tc>
          <w:tcPr>
            <w:tcW w:w="2769" w:type="dxa"/>
          </w:tcPr>
          <w:p w14:paraId="7B91FB03">
            <w:pPr>
              <w:pStyle w:val="15"/>
              <w:jc w:val="center"/>
              <w:rPr>
                <w:highlight w:val="none"/>
              </w:rPr>
            </w:pPr>
            <w:r>
              <w:rPr>
                <w:highlight w:val="none"/>
              </w:rPr>
              <w:t>供应商名称</w:t>
            </w:r>
          </w:p>
        </w:tc>
      </w:tr>
      <w:tr w14:paraId="5A5E07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1BC06A3">
            <w:pPr>
              <w:pStyle w:val="15"/>
              <w:jc w:val="center"/>
              <w:rPr>
                <w:highlight w:val="none"/>
              </w:rPr>
            </w:pPr>
            <w:r>
              <w:rPr>
                <w:highlight w:val="none"/>
              </w:rPr>
              <w:t>1</w:t>
            </w:r>
          </w:p>
        </w:tc>
        <w:tc>
          <w:tcPr>
            <w:tcW w:w="2769" w:type="dxa"/>
          </w:tcPr>
          <w:p w14:paraId="786CF3BA">
            <w:pPr>
              <w:pStyle w:val="15"/>
              <w:jc w:val="center"/>
              <w:rPr>
                <w:highlight w:val="none"/>
              </w:rPr>
            </w:pPr>
            <w:r>
              <w:rPr>
                <w:highlight w:val="none"/>
              </w:rPr>
              <w:t>91350182MA33DUXLXJ</w:t>
            </w:r>
          </w:p>
        </w:tc>
        <w:tc>
          <w:tcPr>
            <w:tcW w:w="2769" w:type="dxa"/>
          </w:tcPr>
          <w:p w14:paraId="78674A21">
            <w:pPr>
              <w:pStyle w:val="15"/>
              <w:jc w:val="center"/>
              <w:rPr>
                <w:highlight w:val="none"/>
              </w:rPr>
            </w:pPr>
            <w:r>
              <w:rPr>
                <w:highlight w:val="none"/>
              </w:rPr>
              <w:t>博思数采科技</w:t>
            </w:r>
            <w:r>
              <w:rPr>
                <w:rFonts w:hint="eastAsia"/>
                <w:highlight w:val="none"/>
                <w:lang w:eastAsia="zh-CN"/>
              </w:rPr>
              <w:t>股份</w:t>
            </w:r>
            <w:r>
              <w:rPr>
                <w:highlight w:val="none"/>
              </w:rPr>
              <w:t>有限公司</w:t>
            </w:r>
          </w:p>
        </w:tc>
      </w:tr>
    </w:tbl>
    <w:p w14:paraId="1C64A2FD">
      <w:pPr>
        <w:pStyle w:val="15"/>
        <w:ind w:firstLine="480"/>
        <w:jc w:val="left"/>
        <w:outlineLvl w:val="2"/>
        <w:rPr>
          <w:highlight w:val="none"/>
        </w:rPr>
      </w:pPr>
      <w:r>
        <w:rPr>
          <w:b/>
          <w:sz w:val="28"/>
          <w:highlight w:val="none"/>
        </w:rPr>
        <w:t>5、供应商的资格要求</w:t>
      </w:r>
    </w:p>
    <w:p w14:paraId="3230CED0">
      <w:pPr>
        <w:pStyle w:val="15"/>
        <w:ind w:firstLine="480"/>
        <w:jc w:val="both"/>
        <w:rPr>
          <w:highlight w:val="none"/>
        </w:rPr>
      </w:pPr>
      <w:r>
        <w:rPr>
          <w:highlight w:val="none"/>
        </w:rPr>
        <w:t>5.1、法定条件：具备《中华人民共和国政府采购法》第二十二条第一款规定的条件。</w:t>
      </w:r>
    </w:p>
    <w:p w14:paraId="0DCC6005">
      <w:pPr>
        <w:pStyle w:val="15"/>
        <w:ind w:firstLine="480"/>
        <w:jc w:val="both"/>
        <w:rPr>
          <w:rFonts w:hint="eastAsia" w:eastAsiaTheme="minorEastAsia"/>
          <w:highlight w:val="none"/>
          <w:lang w:eastAsia="zh-CN"/>
        </w:rPr>
      </w:pPr>
      <w:r>
        <w:rPr>
          <w:highlight w:val="none"/>
        </w:rPr>
        <w:t>5.2、特定条件：</w:t>
      </w:r>
      <w:r>
        <w:rPr>
          <w:rFonts w:hint="eastAsia"/>
          <w:highlight w:val="none"/>
          <w:lang w:eastAsia="zh-CN"/>
        </w:rPr>
        <w:t>无</w:t>
      </w:r>
    </w:p>
    <w:p w14:paraId="7823F7ED">
      <w:pPr>
        <w:pStyle w:val="15"/>
        <w:ind w:firstLine="480"/>
        <w:jc w:val="both"/>
        <w:rPr>
          <w:highlight w:val="none"/>
        </w:rPr>
      </w:pPr>
      <w:r>
        <w:rPr>
          <w:highlight w:val="none"/>
        </w:rPr>
        <w:t>5.3、列入失信被执行人、重大税收违法案件当事人名单、政府采购严重违法失信行为记录名单及其他不符合《中华人民共和国政府采购法》第二十二条规定条件的供应商，不得参加协商，否则响应文件无效。</w:t>
      </w:r>
    </w:p>
    <w:p w14:paraId="1C59AA1E">
      <w:pPr>
        <w:pStyle w:val="15"/>
        <w:ind w:firstLine="480"/>
        <w:jc w:val="both"/>
        <w:rPr>
          <w:highlight w:val="none"/>
        </w:rPr>
      </w:pPr>
      <w:r>
        <w:rPr>
          <w:highlight w:val="none"/>
        </w:rPr>
        <w:t>5.4、本项目不接受联合体参加，不允许成交供应商进行分包、转包。</w:t>
      </w:r>
    </w:p>
    <w:p w14:paraId="6FA2929F">
      <w:pPr>
        <w:pStyle w:val="15"/>
        <w:ind w:firstLine="480"/>
        <w:jc w:val="left"/>
        <w:outlineLvl w:val="2"/>
        <w:rPr>
          <w:highlight w:val="none"/>
        </w:rPr>
      </w:pPr>
      <w:r>
        <w:rPr>
          <w:b/>
          <w:sz w:val="28"/>
          <w:highlight w:val="none"/>
        </w:rPr>
        <w:t>6、采购文件的获取：由被邀请供应商直接从</w:t>
      </w:r>
      <w:r>
        <w:rPr>
          <w:rFonts w:hint="eastAsia"/>
          <w:b/>
          <w:sz w:val="28"/>
          <w:highlight w:val="none"/>
          <w:lang w:eastAsia="zh-CN"/>
        </w:rPr>
        <w:t>本网站</w:t>
      </w:r>
      <w:r>
        <w:rPr>
          <w:b/>
          <w:sz w:val="28"/>
          <w:highlight w:val="none"/>
        </w:rPr>
        <w:t>获取单一来源采购文件。</w:t>
      </w:r>
    </w:p>
    <w:p w14:paraId="7B09FAD9">
      <w:pPr>
        <w:pStyle w:val="15"/>
        <w:ind w:firstLine="480"/>
        <w:jc w:val="left"/>
        <w:outlineLvl w:val="2"/>
        <w:rPr>
          <w:highlight w:val="none"/>
        </w:rPr>
      </w:pPr>
      <w:r>
        <w:rPr>
          <w:b/>
          <w:sz w:val="28"/>
          <w:highlight w:val="none"/>
        </w:rPr>
        <w:t>7、提交响应文件截止时间及提交响应文件地点：</w:t>
      </w:r>
      <w:bookmarkStart w:id="14" w:name="_GoBack"/>
      <w:bookmarkEnd w:id="14"/>
    </w:p>
    <w:p w14:paraId="27121932">
      <w:pPr>
        <w:pStyle w:val="15"/>
        <w:ind w:firstLine="480"/>
        <w:jc w:val="both"/>
        <w:rPr>
          <w:highlight w:val="none"/>
        </w:rPr>
      </w:pPr>
      <w:r>
        <w:rPr>
          <w:rFonts w:hint="eastAsia"/>
          <w:highlight w:val="none"/>
          <w:lang w:eastAsia="zh-CN"/>
        </w:rPr>
        <w:t>提交响应文件截止时间：</w:t>
      </w:r>
      <w:r>
        <w:rPr>
          <w:rFonts w:hint="eastAsia"/>
          <w:highlight w:val="none"/>
          <w:lang w:val="en-US" w:eastAsia="zh-CN"/>
          <w:rPrChange w:id="0" w:author="曾" w:date="2025-08-11T16:17:56Z">
            <w:rPr>
              <w:rFonts w:hint="eastAsia"/>
              <w:highlight w:val="yellow"/>
              <w:lang w:val="en-US" w:eastAsia="zh-CN"/>
            </w:rPr>
          </w:rPrChange>
        </w:rPr>
        <w:t>202</w:t>
      </w:r>
      <w:del w:id="1" w:author="user" w:date="2025-08-05T16:26:53Z">
        <w:r>
          <w:rPr>
            <w:rFonts w:hint="default"/>
            <w:highlight w:val="none"/>
            <w:lang w:val="en-US" w:eastAsia="zh-CN"/>
            <w:rPrChange w:id="2" w:author="曾" w:date="2025-08-11T16:17:56Z">
              <w:rPr>
                <w:rFonts w:hint="default"/>
                <w:highlight w:val="yellow"/>
                <w:lang w:val="en-US" w:eastAsia="zh-CN"/>
              </w:rPr>
            </w:rPrChange>
          </w:rPr>
          <w:delText>4</w:delText>
        </w:r>
      </w:del>
      <w:ins w:id="4" w:author="user" w:date="2025-08-05T16:26:53Z">
        <w:r>
          <w:rPr>
            <w:rFonts w:hint="eastAsia"/>
            <w:highlight w:val="none"/>
            <w:lang w:val="en-US" w:eastAsia="zh-CN"/>
            <w:rPrChange w:id="5" w:author="曾" w:date="2025-08-11T16:17:56Z">
              <w:rPr>
                <w:rFonts w:hint="eastAsia"/>
                <w:highlight w:val="yellow"/>
                <w:lang w:val="en-US" w:eastAsia="zh-CN"/>
              </w:rPr>
            </w:rPrChange>
          </w:rPr>
          <w:t>5</w:t>
        </w:r>
      </w:ins>
      <w:r>
        <w:rPr>
          <w:rFonts w:hint="eastAsia"/>
          <w:highlight w:val="none"/>
          <w:lang w:val="en-US" w:eastAsia="zh-CN"/>
          <w:rPrChange w:id="7" w:author="曾" w:date="2025-08-11T16:17:56Z">
            <w:rPr>
              <w:rFonts w:hint="eastAsia"/>
              <w:highlight w:val="yellow"/>
              <w:lang w:val="en-US" w:eastAsia="zh-CN"/>
            </w:rPr>
          </w:rPrChange>
        </w:rPr>
        <w:t>年</w:t>
      </w:r>
      <w:del w:id="8" w:author="user" w:date="2025-08-05T16:26:50Z">
        <w:r>
          <w:rPr>
            <w:rFonts w:hint="default"/>
            <w:highlight w:val="none"/>
            <w:lang w:val="en-US" w:eastAsia="zh-CN"/>
            <w:rPrChange w:id="9" w:author="曾" w:date="2025-08-11T16:17:56Z">
              <w:rPr>
                <w:rFonts w:hint="default"/>
                <w:highlight w:val="yellow"/>
                <w:lang w:val="en-US" w:eastAsia="zh-CN"/>
              </w:rPr>
            </w:rPrChange>
          </w:rPr>
          <w:delText>4</w:delText>
        </w:r>
      </w:del>
      <w:ins w:id="11" w:author="user" w:date="2025-08-05T16:26:50Z">
        <w:r>
          <w:rPr>
            <w:rFonts w:hint="eastAsia"/>
            <w:highlight w:val="none"/>
            <w:lang w:val="en-US" w:eastAsia="zh-CN"/>
            <w:rPrChange w:id="12" w:author="曾" w:date="2025-08-11T16:17:56Z">
              <w:rPr>
                <w:rFonts w:hint="eastAsia"/>
                <w:highlight w:val="yellow"/>
                <w:lang w:val="en-US" w:eastAsia="zh-CN"/>
              </w:rPr>
            </w:rPrChange>
          </w:rPr>
          <w:t>8</w:t>
        </w:r>
      </w:ins>
      <w:r>
        <w:rPr>
          <w:rFonts w:hint="eastAsia"/>
          <w:highlight w:val="none"/>
          <w:lang w:val="en-US" w:eastAsia="zh-CN"/>
          <w:rPrChange w:id="14" w:author="曾" w:date="2025-08-11T16:17:56Z">
            <w:rPr>
              <w:rFonts w:hint="eastAsia"/>
              <w:highlight w:val="yellow"/>
              <w:lang w:val="en-US" w:eastAsia="zh-CN"/>
            </w:rPr>
          </w:rPrChange>
        </w:rPr>
        <w:t>月</w:t>
      </w:r>
      <w:del w:id="15" w:author="user" w:date="2025-08-05T16:27:10Z">
        <w:r>
          <w:rPr>
            <w:rFonts w:hint="default"/>
            <w:highlight w:val="none"/>
            <w:lang w:val="en-US" w:eastAsia="zh-CN"/>
            <w:rPrChange w:id="16" w:author="曾" w:date="2025-08-11T16:17:56Z">
              <w:rPr>
                <w:rFonts w:hint="default"/>
                <w:highlight w:val="yellow"/>
                <w:lang w:val="en-US" w:eastAsia="zh-CN"/>
              </w:rPr>
            </w:rPrChange>
          </w:rPr>
          <w:delText>26</w:delText>
        </w:r>
      </w:del>
      <w:ins w:id="18" w:author="user" w:date="2025-08-05T16:27:10Z">
        <w:r>
          <w:rPr>
            <w:rFonts w:hint="eastAsia"/>
            <w:highlight w:val="none"/>
            <w:lang w:val="en-US" w:eastAsia="zh-CN"/>
            <w:rPrChange w:id="19" w:author="曾" w:date="2025-08-11T16:17:56Z">
              <w:rPr>
                <w:rFonts w:hint="eastAsia"/>
                <w:highlight w:val="yellow"/>
                <w:lang w:val="en-US" w:eastAsia="zh-CN"/>
              </w:rPr>
            </w:rPrChange>
          </w:rPr>
          <w:t>1</w:t>
        </w:r>
      </w:ins>
      <w:ins w:id="21" w:author="user" w:date="2025-08-05T16:27:10Z">
        <w:del w:id="22" w:author="曾" w:date="2025-08-11T16:17:48Z">
          <w:r>
            <w:rPr>
              <w:rFonts w:hint="default"/>
              <w:highlight w:val="none"/>
              <w:lang w:val="en-US" w:eastAsia="zh-CN"/>
              <w:rPrChange w:id="23" w:author="曾" w:date="2025-08-11T16:17:56Z">
                <w:rPr>
                  <w:rFonts w:hint="default"/>
                  <w:highlight w:val="yellow"/>
                  <w:lang w:val="en-US" w:eastAsia="zh-CN"/>
                </w:rPr>
              </w:rPrChange>
            </w:rPr>
            <w:delText>2</w:delText>
          </w:r>
        </w:del>
      </w:ins>
      <w:ins w:id="26" w:author="曾" w:date="2025-08-11T16:17:48Z">
        <w:r>
          <w:rPr>
            <w:rFonts w:hint="eastAsia"/>
            <w:highlight w:val="none"/>
            <w:lang w:val="en-US" w:eastAsia="zh-CN"/>
            <w:rPrChange w:id="27" w:author="曾" w:date="2025-08-11T16:17:56Z">
              <w:rPr>
                <w:rFonts w:hint="eastAsia"/>
                <w:highlight w:val="yellow"/>
                <w:lang w:val="en-US" w:eastAsia="zh-CN"/>
              </w:rPr>
            </w:rPrChange>
          </w:rPr>
          <w:t>5</w:t>
        </w:r>
      </w:ins>
      <w:r>
        <w:rPr>
          <w:rFonts w:hint="eastAsia"/>
          <w:highlight w:val="none"/>
          <w:lang w:val="en-US" w:eastAsia="zh-CN"/>
          <w:rPrChange w:id="29" w:author="曾" w:date="2025-08-11T16:17:56Z">
            <w:rPr>
              <w:rFonts w:hint="eastAsia"/>
              <w:highlight w:val="yellow"/>
              <w:lang w:val="en-US" w:eastAsia="zh-CN"/>
            </w:rPr>
          </w:rPrChange>
        </w:rPr>
        <w:t>日09:30</w:t>
      </w:r>
      <w:r>
        <w:rPr>
          <w:highlight w:val="none"/>
        </w:rPr>
        <w:t>；</w:t>
      </w:r>
    </w:p>
    <w:p w14:paraId="30BF6F8D">
      <w:pPr>
        <w:pStyle w:val="15"/>
        <w:ind w:firstLine="480"/>
        <w:jc w:val="both"/>
        <w:rPr>
          <w:rFonts w:hint="default" w:eastAsiaTheme="minorEastAsia"/>
          <w:highlight w:val="none"/>
          <w:lang w:val="en-US" w:eastAsia="zh-CN"/>
        </w:rPr>
      </w:pPr>
      <w:r>
        <w:rPr>
          <w:rFonts w:hint="eastAsia"/>
          <w:highlight w:val="none"/>
          <w:lang w:eastAsia="zh-CN"/>
        </w:rPr>
        <w:t>提交响应文件地点：泉州市丰泽区海星街</w:t>
      </w:r>
      <w:r>
        <w:rPr>
          <w:rFonts w:hint="eastAsia"/>
          <w:highlight w:val="none"/>
          <w:lang w:val="en-US" w:eastAsia="zh-CN"/>
        </w:rPr>
        <w:t>100号</w:t>
      </w:r>
      <w:r>
        <w:rPr>
          <w:rFonts w:hint="eastAsia"/>
          <w:highlight w:val="none"/>
          <w:lang w:eastAsia="zh-CN"/>
        </w:rPr>
        <w:t>东海大厦</w:t>
      </w:r>
      <w:r>
        <w:rPr>
          <w:rFonts w:hint="eastAsia"/>
          <w:highlight w:val="none"/>
          <w:lang w:val="en-US" w:eastAsia="zh-CN"/>
        </w:rPr>
        <w:t>A栋四层泉州市政府采购中心</w:t>
      </w:r>
    </w:p>
    <w:p w14:paraId="2716569C">
      <w:pPr>
        <w:pStyle w:val="15"/>
        <w:ind w:firstLine="480"/>
        <w:jc w:val="left"/>
        <w:outlineLvl w:val="2"/>
        <w:rPr>
          <w:highlight w:val="none"/>
        </w:rPr>
      </w:pPr>
      <w:r>
        <w:rPr>
          <w:b/>
          <w:sz w:val="28"/>
          <w:highlight w:val="none"/>
        </w:rPr>
        <w:t>8、协商时间及协商地点：</w:t>
      </w:r>
    </w:p>
    <w:p w14:paraId="15A969C7">
      <w:pPr>
        <w:pStyle w:val="15"/>
        <w:ind w:firstLine="480"/>
        <w:jc w:val="both"/>
        <w:rPr>
          <w:highlight w:val="none"/>
        </w:rPr>
      </w:pPr>
      <w:r>
        <w:rPr>
          <w:rFonts w:hint="eastAsia"/>
          <w:highlight w:val="none"/>
          <w:lang w:eastAsia="zh-CN"/>
        </w:rPr>
        <w:t>同上述第</w:t>
      </w:r>
      <w:r>
        <w:rPr>
          <w:rFonts w:hint="eastAsia"/>
          <w:highlight w:val="none"/>
          <w:lang w:val="en-US" w:eastAsia="zh-CN"/>
        </w:rPr>
        <w:t>7项</w:t>
      </w:r>
      <w:r>
        <w:rPr>
          <w:highlight w:val="none"/>
        </w:rPr>
        <w:t>；</w:t>
      </w:r>
    </w:p>
    <w:p w14:paraId="56067526">
      <w:pPr>
        <w:pStyle w:val="15"/>
        <w:ind w:firstLine="480"/>
        <w:jc w:val="left"/>
        <w:outlineLvl w:val="2"/>
        <w:rPr>
          <w:highlight w:val="none"/>
        </w:rPr>
      </w:pPr>
      <w:r>
        <w:rPr>
          <w:b/>
          <w:sz w:val="28"/>
          <w:highlight w:val="none"/>
        </w:rPr>
        <w:t>9、以上如有变更，</w:t>
      </w:r>
      <w:r>
        <w:rPr>
          <w:rFonts w:hint="eastAsia"/>
          <w:b/>
          <w:sz w:val="28"/>
          <w:highlight w:val="none"/>
          <w:lang w:eastAsia="zh-CN"/>
        </w:rPr>
        <w:t>以</w:t>
      </w:r>
      <w:r>
        <w:rPr>
          <w:b/>
          <w:sz w:val="28"/>
          <w:highlight w:val="none"/>
        </w:rPr>
        <w:t>最后发布的更正公告为准，请供应商关注。</w:t>
      </w:r>
    </w:p>
    <w:p w14:paraId="3F0F198B">
      <w:pPr>
        <w:pStyle w:val="15"/>
        <w:ind w:firstLine="480"/>
        <w:jc w:val="left"/>
        <w:outlineLvl w:val="2"/>
        <w:rPr>
          <w:highlight w:val="none"/>
        </w:rPr>
      </w:pPr>
      <w:r>
        <w:rPr>
          <w:b/>
          <w:sz w:val="28"/>
          <w:highlight w:val="none"/>
        </w:rPr>
        <w:t>10、联系方式</w:t>
      </w:r>
    </w:p>
    <w:p w14:paraId="6F7BF6ED">
      <w:pPr>
        <w:pStyle w:val="15"/>
        <w:ind w:firstLine="600" w:firstLineChars="300"/>
        <w:jc w:val="left"/>
        <w:rPr>
          <w:rFonts w:hint="eastAsia"/>
          <w:highlight w:val="none"/>
          <w:lang w:eastAsia="zh-CN"/>
        </w:rPr>
      </w:pPr>
      <w:r>
        <w:rPr>
          <w:highlight w:val="none"/>
        </w:rPr>
        <w:t>采购人：泉州市</w:t>
      </w:r>
      <w:r>
        <w:rPr>
          <w:rFonts w:hint="eastAsia"/>
          <w:highlight w:val="none"/>
          <w:lang w:eastAsia="zh-CN"/>
        </w:rPr>
        <w:t>财政局</w:t>
      </w:r>
    </w:p>
    <w:p w14:paraId="6270733D">
      <w:pPr>
        <w:pStyle w:val="15"/>
        <w:ind w:firstLine="600" w:firstLineChars="300"/>
        <w:jc w:val="left"/>
        <w:rPr>
          <w:highlight w:val="none"/>
        </w:rPr>
      </w:pPr>
      <w:r>
        <w:rPr>
          <w:highlight w:val="none"/>
        </w:rPr>
        <w:t>地址：泉州市丰泽区东海交通科研楼C栋</w:t>
      </w:r>
      <w:r>
        <w:rPr>
          <w:rFonts w:hint="eastAsia"/>
          <w:highlight w:val="none"/>
          <w:lang w:val="en-US" w:eastAsia="zh-CN"/>
        </w:rPr>
        <w:t xml:space="preserve">    </w:t>
      </w:r>
      <w:r>
        <w:rPr>
          <w:highlight w:val="none"/>
        </w:rPr>
        <w:t>邮编：362000</w:t>
      </w:r>
    </w:p>
    <w:p w14:paraId="2CF04678">
      <w:pPr>
        <w:pStyle w:val="15"/>
        <w:ind w:firstLine="600" w:firstLineChars="300"/>
        <w:jc w:val="left"/>
        <w:rPr>
          <w:rFonts w:hint="default" w:eastAsiaTheme="minorEastAsia"/>
          <w:highlight w:val="none"/>
          <w:lang w:val="en-US" w:eastAsia="zh-CN"/>
        </w:rPr>
      </w:pPr>
      <w:r>
        <w:rPr>
          <w:highlight w:val="none"/>
        </w:rPr>
        <w:t>联系人：</w:t>
      </w:r>
      <w:r>
        <w:rPr>
          <w:rFonts w:hint="eastAsia"/>
          <w:highlight w:val="none"/>
          <w:lang w:eastAsia="zh-CN"/>
        </w:rPr>
        <w:t>小王</w:t>
      </w:r>
      <w:r>
        <w:rPr>
          <w:rFonts w:hint="eastAsia"/>
          <w:highlight w:val="none"/>
          <w:lang w:val="en-US" w:eastAsia="zh-CN"/>
        </w:rPr>
        <w:t xml:space="preserve">    </w:t>
      </w:r>
      <w:r>
        <w:rPr>
          <w:highlight w:val="none"/>
        </w:rPr>
        <w:t>联系电话：</w:t>
      </w:r>
      <w:r>
        <w:rPr>
          <w:rFonts w:hint="eastAsia"/>
          <w:highlight w:val="none"/>
          <w:lang w:val="en-US" w:eastAsia="zh-CN"/>
        </w:rPr>
        <w:t>0595-22135521</w:t>
      </w:r>
    </w:p>
    <w:p w14:paraId="5EAFB808">
      <w:pPr>
        <w:pStyle w:val="15"/>
        <w:ind w:firstLine="600" w:firstLineChars="300"/>
        <w:jc w:val="left"/>
        <w:rPr>
          <w:highlight w:val="none"/>
        </w:rPr>
      </w:pPr>
      <w:r>
        <w:rPr>
          <w:highlight w:val="none"/>
        </w:rPr>
        <w:t>代理机构：泉州市政府采购中心</w:t>
      </w:r>
    </w:p>
    <w:p w14:paraId="1CD6174F">
      <w:pPr>
        <w:pStyle w:val="15"/>
        <w:ind w:firstLine="600" w:firstLineChars="300"/>
        <w:jc w:val="left"/>
        <w:rPr>
          <w:highlight w:val="none"/>
        </w:rPr>
      </w:pPr>
      <w:r>
        <w:rPr>
          <w:highlight w:val="none"/>
        </w:rPr>
        <w:t>地址：福建省泉州市丰泽区海星街100号东海大厦A栋404</w:t>
      </w:r>
      <w:r>
        <w:rPr>
          <w:rFonts w:hint="eastAsia"/>
          <w:highlight w:val="none"/>
          <w:lang w:val="en-US" w:eastAsia="zh-CN"/>
        </w:rPr>
        <w:t xml:space="preserve">    </w:t>
      </w:r>
      <w:r>
        <w:rPr>
          <w:highlight w:val="none"/>
        </w:rPr>
        <w:t>邮编：362000</w:t>
      </w:r>
    </w:p>
    <w:p w14:paraId="27214CCF">
      <w:pPr>
        <w:pStyle w:val="15"/>
        <w:ind w:firstLine="600" w:firstLineChars="300"/>
        <w:jc w:val="left"/>
        <w:rPr>
          <w:rFonts w:hint="eastAsia" w:eastAsiaTheme="minorEastAsia"/>
          <w:highlight w:val="none"/>
          <w:lang w:val="en-US" w:eastAsia="zh-CN"/>
        </w:rPr>
      </w:pPr>
      <w:r>
        <w:rPr>
          <w:highlight w:val="none"/>
        </w:rPr>
        <w:t>联系人：</w:t>
      </w:r>
      <w:r>
        <w:rPr>
          <w:rFonts w:hint="eastAsia"/>
          <w:highlight w:val="none"/>
          <w:lang w:eastAsia="zh-CN"/>
        </w:rPr>
        <w:t>李先生</w:t>
      </w:r>
      <w:r>
        <w:rPr>
          <w:rFonts w:hint="eastAsia"/>
          <w:highlight w:val="none"/>
          <w:lang w:val="en-US" w:eastAsia="zh-CN"/>
        </w:rPr>
        <w:t xml:space="preserve">    </w:t>
      </w:r>
      <w:r>
        <w:rPr>
          <w:highlight w:val="none"/>
        </w:rPr>
        <w:t>联系电话：0595-2213229</w:t>
      </w:r>
      <w:r>
        <w:rPr>
          <w:rFonts w:hint="eastAsia"/>
          <w:highlight w:val="none"/>
          <w:lang w:val="en-US" w:eastAsia="zh-CN"/>
        </w:rPr>
        <w:t>7</w:t>
      </w:r>
    </w:p>
    <w:p w14:paraId="4178FAD4">
      <w:pPr>
        <w:pStyle w:val="15"/>
        <w:ind w:firstLine="480"/>
        <w:jc w:val="left"/>
        <w:outlineLvl w:val="2"/>
        <w:rPr>
          <w:highlight w:val="none"/>
        </w:rPr>
      </w:pPr>
      <w:r>
        <w:rPr>
          <w:b/>
          <w:sz w:val="28"/>
          <w:highlight w:val="none"/>
        </w:rPr>
        <w:t>附：采购标的一览表</w:t>
      </w:r>
    </w:p>
    <w:p w14:paraId="112A3673">
      <w:pPr>
        <w:pStyle w:val="15"/>
        <w:jc w:val="left"/>
        <w:rPr>
          <w:highlight w:val="none"/>
        </w:rPr>
      </w:pPr>
      <w:r>
        <w:rPr>
          <w:highlight w:val="none"/>
        </w:rPr>
        <w:t>采购包1：</w:t>
      </w:r>
    </w:p>
    <w:p w14:paraId="10F8AE3F">
      <w:pPr>
        <w:pStyle w:val="15"/>
        <w:jc w:val="left"/>
        <w:rPr>
          <w:highlight w:val="none"/>
        </w:rPr>
      </w:pPr>
      <w:r>
        <w:rPr>
          <w:highlight w:val="none"/>
        </w:rPr>
        <w:t xml:space="preserve">采购包预算金额（元）: </w:t>
      </w:r>
      <w:r>
        <w:rPr>
          <w:rFonts w:hint="eastAsia"/>
          <w:highlight w:val="none"/>
          <w:lang w:val="en-US" w:eastAsia="zh-CN"/>
        </w:rPr>
        <w:t>245</w:t>
      </w:r>
      <w:r>
        <w:rPr>
          <w:highlight w:val="none"/>
        </w:rPr>
        <w:t>,000.00</w:t>
      </w:r>
    </w:p>
    <w:p w14:paraId="0C0E75D5">
      <w:pPr>
        <w:pStyle w:val="15"/>
        <w:jc w:val="left"/>
        <w:rPr>
          <w:highlight w:val="none"/>
        </w:rPr>
      </w:pPr>
      <w:r>
        <w:rPr>
          <w:highlight w:val="none"/>
        </w:rPr>
        <w:t xml:space="preserve">采购包最高限价（元）: </w:t>
      </w:r>
      <w:r>
        <w:rPr>
          <w:rFonts w:hint="eastAsia"/>
          <w:highlight w:val="none"/>
          <w:lang w:val="en-US" w:eastAsia="zh-CN"/>
        </w:rPr>
        <w:t>245</w:t>
      </w:r>
      <w:r>
        <w:rPr>
          <w:highlight w:val="none"/>
        </w:rPr>
        <w:t>,000.00</w:t>
      </w:r>
    </w:p>
    <w:p w14:paraId="4BD016F1">
      <w:pPr>
        <w:pStyle w:val="15"/>
        <w:jc w:val="left"/>
        <w:rPr>
          <w:highlight w:val="none"/>
        </w:rPr>
      </w:pPr>
      <w:r>
        <w:rPr>
          <w:highlight w:val="none"/>
        </w:rPr>
        <w:t>采购包保证金金额（元）: 0.00</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2"/>
        <w:gridCol w:w="2046"/>
        <w:gridCol w:w="843"/>
        <w:gridCol w:w="1698"/>
        <w:gridCol w:w="676"/>
        <w:gridCol w:w="1283"/>
        <w:gridCol w:w="1091"/>
      </w:tblGrid>
      <w:tr w14:paraId="167C3B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vAlign w:val="center"/>
          </w:tcPr>
          <w:p w14:paraId="41F75811">
            <w:pPr>
              <w:pStyle w:val="15"/>
              <w:jc w:val="center"/>
              <w:rPr>
                <w:highlight w:val="none"/>
              </w:rPr>
            </w:pPr>
            <w:r>
              <w:rPr>
                <w:highlight w:val="none"/>
              </w:rPr>
              <w:t>序号</w:t>
            </w:r>
          </w:p>
        </w:tc>
        <w:tc>
          <w:tcPr>
            <w:tcW w:w="2046" w:type="dxa"/>
            <w:vAlign w:val="center"/>
          </w:tcPr>
          <w:p w14:paraId="03440B79">
            <w:pPr>
              <w:pStyle w:val="15"/>
              <w:jc w:val="center"/>
              <w:rPr>
                <w:highlight w:val="none"/>
              </w:rPr>
            </w:pPr>
            <w:r>
              <w:rPr>
                <w:highlight w:val="none"/>
              </w:rPr>
              <w:t>标的名称</w:t>
            </w:r>
          </w:p>
        </w:tc>
        <w:tc>
          <w:tcPr>
            <w:tcW w:w="843" w:type="dxa"/>
            <w:vAlign w:val="center"/>
          </w:tcPr>
          <w:p w14:paraId="5D9F2DCB">
            <w:pPr>
              <w:pStyle w:val="15"/>
              <w:jc w:val="center"/>
              <w:rPr>
                <w:highlight w:val="none"/>
              </w:rPr>
            </w:pPr>
            <w:r>
              <w:rPr>
                <w:highlight w:val="none"/>
              </w:rPr>
              <w:t>数量</w:t>
            </w:r>
          </w:p>
        </w:tc>
        <w:tc>
          <w:tcPr>
            <w:tcW w:w="1698" w:type="dxa"/>
            <w:vAlign w:val="center"/>
          </w:tcPr>
          <w:p w14:paraId="1B58A1E6">
            <w:pPr>
              <w:pStyle w:val="15"/>
              <w:jc w:val="center"/>
              <w:rPr>
                <w:highlight w:val="none"/>
              </w:rPr>
            </w:pPr>
            <w:r>
              <w:rPr>
                <w:highlight w:val="none"/>
              </w:rPr>
              <w:t>标的金额 （元）</w:t>
            </w:r>
          </w:p>
        </w:tc>
        <w:tc>
          <w:tcPr>
            <w:tcW w:w="676" w:type="dxa"/>
            <w:vAlign w:val="center"/>
          </w:tcPr>
          <w:p w14:paraId="0B267B3A">
            <w:pPr>
              <w:pStyle w:val="15"/>
              <w:jc w:val="center"/>
              <w:rPr>
                <w:highlight w:val="none"/>
              </w:rPr>
            </w:pPr>
            <w:r>
              <w:rPr>
                <w:highlight w:val="none"/>
              </w:rPr>
              <w:t>计量单位</w:t>
            </w:r>
          </w:p>
        </w:tc>
        <w:tc>
          <w:tcPr>
            <w:tcW w:w="1283" w:type="dxa"/>
            <w:vAlign w:val="center"/>
          </w:tcPr>
          <w:p w14:paraId="14EA95B8">
            <w:pPr>
              <w:pStyle w:val="15"/>
              <w:jc w:val="center"/>
              <w:rPr>
                <w:highlight w:val="none"/>
              </w:rPr>
            </w:pPr>
            <w:r>
              <w:rPr>
                <w:highlight w:val="none"/>
              </w:rPr>
              <w:t>所属行业</w:t>
            </w:r>
          </w:p>
        </w:tc>
        <w:tc>
          <w:tcPr>
            <w:tcW w:w="1091" w:type="dxa"/>
            <w:vAlign w:val="center"/>
          </w:tcPr>
          <w:p w14:paraId="370A6346">
            <w:pPr>
              <w:pStyle w:val="15"/>
              <w:jc w:val="center"/>
              <w:rPr>
                <w:highlight w:val="none"/>
              </w:rPr>
            </w:pPr>
            <w:r>
              <w:rPr>
                <w:highlight w:val="none"/>
              </w:rPr>
              <w:t>是否允许进口产品</w:t>
            </w:r>
          </w:p>
        </w:tc>
      </w:tr>
      <w:tr w14:paraId="53AEDB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vAlign w:val="center"/>
          </w:tcPr>
          <w:p w14:paraId="4843445F">
            <w:pPr>
              <w:pStyle w:val="15"/>
              <w:jc w:val="center"/>
              <w:rPr>
                <w:highlight w:val="none"/>
              </w:rPr>
            </w:pPr>
            <w:r>
              <w:rPr>
                <w:highlight w:val="none"/>
              </w:rPr>
              <w:t>1</w:t>
            </w:r>
          </w:p>
        </w:tc>
        <w:tc>
          <w:tcPr>
            <w:tcW w:w="2046" w:type="dxa"/>
            <w:vAlign w:val="center"/>
          </w:tcPr>
          <w:p w14:paraId="265DB098">
            <w:pPr>
              <w:pStyle w:val="15"/>
              <w:jc w:val="left"/>
              <w:rPr>
                <w:highlight w:val="none"/>
              </w:rPr>
            </w:pPr>
            <w:r>
              <w:rPr>
                <w:rFonts w:hint="eastAsia"/>
                <w:b w:val="0"/>
                <w:sz w:val="20"/>
                <w:highlight w:val="none"/>
                <w:lang w:eastAsia="zh-CN"/>
              </w:rPr>
              <w:t>泉州市财政局远程异地评审扩容项目</w:t>
            </w:r>
          </w:p>
        </w:tc>
        <w:tc>
          <w:tcPr>
            <w:tcW w:w="843" w:type="dxa"/>
            <w:vAlign w:val="center"/>
          </w:tcPr>
          <w:p w14:paraId="2260CFC0">
            <w:pPr>
              <w:pStyle w:val="15"/>
              <w:jc w:val="center"/>
              <w:rPr>
                <w:highlight w:val="none"/>
              </w:rPr>
            </w:pPr>
            <w:r>
              <w:rPr>
                <w:highlight w:val="none"/>
              </w:rPr>
              <w:t>1.00</w:t>
            </w:r>
          </w:p>
        </w:tc>
        <w:tc>
          <w:tcPr>
            <w:tcW w:w="1698" w:type="dxa"/>
            <w:vAlign w:val="center"/>
          </w:tcPr>
          <w:p w14:paraId="2DF83324">
            <w:pPr>
              <w:pStyle w:val="15"/>
              <w:jc w:val="center"/>
              <w:rPr>
                <w:highlight w:val="none"/>
              </w:rPr>
            </w:pPr>
            <w:r>
              <w:rPr>
                <w:rFonts w:hint="eastAsia"/>
                <w:highlight w:val="none"/>
                <w:lang w:val="en-US" w:eastAsia="zh-CN"/>
              </w:rPr>
              <w:t>245</w:t>
            </w:r>
            <w:r>
              <w:rPr>
                <w:highlight w:val="none"/>
              </w:rPr>
              <w:t>,000.00</w:t>
            </w:r>
          </w:p>
        </w:tc>
        <w:tc>
          <w:tcPr>
            <w:tcW w:w="676" w:type="dxa"/>
            <w:vAlign w:val="center"/>
          </w:tcPr>
          <w:p w14:paraId="0048C073">
            <w:pPr>
              <w:pStyle w:val="15"/>
              <w:jc w:val="center"/>
              <w:rPr>
                <w:rFonts w:hint="eastAsia" w:eastAsiaTheme="minorEastAsia"/>
                <w:highlight w:val="none"/>
                <w:lang w:eastAsia="zh-CN"/>
              </w:rPr>
            </w:pPr>
            <w:r>
              <w:rPr>
                <w:rFonts w:hint="eastAsia"/>
                <w:highlight w:val="none"/>
                <w:lang w:eastAsia="zh-CN"/>
              </w:rPr>
              <w:t>项</w:t>
            </w:r>
          </w:p>
        </w:tc>
        <w:tc>
          <w:tcPr>
            <w:tcW w:w="1283" w:type="dxa"/>
            <w:vAlign w:val="center"/>
          </w:tcPr>
          <w:p w14:paraId="6D0B38EB">
            <w:pPr>
              <w:pStyle w:val="15"/>
              <w:jc w:val="center"/>
              <w:rPr>
                <w:rFonts w:hint="eastAsia" w:eastAsiaTheme="minorEastAsia"/>
                <w:highlight w:val="none"/>
                <w:lang w:eastAsia="zh-CN"/>
              </w:rPr>
            </w:pPr>
            <w:r>
              <w:rPr>
                <w:highlight w:val="none"/>
              </w:rPr>
              <w:t>软件和信息技术服务业</w:t>
            </w:r>
          </w:p>
        </w:tc>
        <w:tc>
          <w:tcPr>
            <w:tcW w:w="1091" w:type="dxa"/>
            <w:vAlign w:val="center"/>
          </w:tcPr>
          <w:p w14:paraId="7016ACAA">
            <w:pPr>
              <w:pStyle w:val="15"/>
              <w:jc w:val="center"/>
              <w:rPr>
                <w:highlight w:val="none"/>
              </w:rPr>
            </w:pPr>
            <w:r>
              <w:rPr>
                <w:highlight w:val="none"/>
              </w:rPr>
              <w:t>否</w:t>
            </w:r>
          </w:p>
        </w:tc>
      </w:tr>
    </w:tbl>
    <w:p w14:paraId="57DE8097">
      <w:pPr>
        <w:pStyle w:val="15"/>
        <w:jc w:val="both"/>
        <w:rPr>
          <w:highlight w:val="none"/>
        </w:rPr>
      </w:pPr>
    </w:p>
    <w:p w14:paraId="24E965C2">
      <w:pPr>
        <w:pStyle w:val="15"/>
        <w:jc w:val="both"/>
        <w:rPr>
          <w:highlight w:val="none"/>
        </w:rPr>
      </w:pPr>
      <w:r>
        <w:rPr>
          <w:b/>
          <w:highlight w:val="none"/>
        </w:rPr>
        <w:t xml:space="preserve"> </w:t>
      </w:r>
    </w:p>
    <w:p w14:paraId="1C524234">
      <w:pPr>
        <w:rPr>
          <w:b/>
          <w:sz w:val="36"/>
          <w:highlight w:val="none"/>
        </w:rPr>
      </w:pPr>
      <w:r>
        <w:rPr>
          <w:b/>
          <w:sz w:val="36"/>
          <w:highlight w:val="none"/>
        </w:rPr>
        <w:br w:type="page"/>
      </w:r>
    </w:p>
    <w:p w14:paraId="62DD30F2">
      <w:pPr>
        <w:pStyle w:val="15"/>
        <w:jc w:val="center"/>
        <w:outlineLvl w:val="1"/>
        <w:rPr>
          <w:highlight w:val="none"/>
        </w:rPr>
      </w:pPr>
      <w:r>
        <w:rPr>
          <w:b/>
          <w:sz w:val="36"/>
          <w:highlight w:val="none"/>
        </w:rPr>
        <w:t>第二章  协商须知前附表</w:t>
      </w:r>
    </w:p>
    <w:p w14:paraId="7CE36DFE">
      <w:pPr>
        <w:pStyle w:val="15"/>
        <w:ind w:firstLine="480"/>
        <w:jc w:val="center"/>
        <w:outlineLvl w:val="2"/>
        <w:rPr>
          <w:highlight w:val="none"/>
        </w:rPr>
      </w:pPr>
      <w:r>
        <w:rPr>
          <w:b/>
          <w:sz w:val="28"/>
          <w:highlight w:val="none"/>
        </w:rPr>
        <w:t>一、协商须知前附表1</w:t>
      </w:r>
    </w:p>
    <w:p w14:paraId="583D72BA">
      <w:pPr>
        <w:pStyle w:val="15"/>
        <w:ind w:firstLine="480"/>
        <w:jc w:val="both"/>
        <w:rPr>
          <w:highlight w:val="none"/>
        </w:rPr>
      </w:pPr>
      <w:r>
        <w:rPr>
          <w:highlight w:val="none"/>
        </w:rPr>
        <w:t>本须知前附表的项号与采购文件内容如有矛盾，应以本须知前附表为准。</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2"/>
        <w:gridCol w:w="1178"/>
        <w:gridCol w:w="6932"/>
      </w:tblGrid>
      <w:tr w14:paraId="07F203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6B46A5E9">
            <w:pPr>
              <w:pStyle w:val="15"/>
              <w:jc w:val="both"/>
              <w:rPr>
                <w:highlight w:val="none"/>
              </w:rPr>
            </w:pPr>
            <w:r>
              <w:rPr>
                <w:b/>
                <w:highlight w:val="none"/>
              </w:rPr>
              <w:t>序号</w:t>
            </w:r>
          </w:p>
        </w:tc>
        <w:tc>
          <w:tcPr>
            <w:tcW w:w="1178" w:type="dxa"/>
          </w:tcPr>
          <w:p w14:paraId="5DB5BA04">
            <w:pPr>
              <w:pStyle w:val="15"/>
              <w:jc w:val="both"/>
              <w:rPr>
                <w:highlight w:val="none"/>
              </w:rPr>
            </w:pPr>
            <w:r>
              <w:rPr>
                <w:b/>
                <w:highlight w:val="none"/>
              </w:rPr>
              <w:t>采购文件（第三章）</w:t>
            </w:r>
          </w:p>
        </w:tc>
        <w:tc>
          <w:tcPr>
            <w:tcW w:w="6932" w:type="dxa"/>
          </w:tcPr>
          <w:p w14:paraId="6725DB2F">
            <w:pPr>
              <w:pStyle w:val="15"/>
              <w:jc w:val="both"/>
              <w:rPr>
                <w:highlight w:val="none"/>
              </w:rPr>
            </w:pPr>
            <w:r>
              <w:rPr>
                <w:b/>
                <w:highlight w:val="none"/>
              </w:rPr>
              <w:t>编 列 内 容</w:t>
            </w:r>
          </w:p>
        </w:tc>
      </w:tr>
      <w:tr w14:paraId="56906A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1EDED1CC">
            <w:pPr>
              <w:pStyle w:val="15"/>
              <w:jc w:val="both"/>
              <w:rPr>
                <w:highlight w:val="none"/>
              </w:rPr>
            </w:pPr>
            <w:r>
              <w:rPr>
                <w:b/>
                <w:highlight w:val="none"/>
              </w:rPr>
              <w:t>1</w:t>
            </w:r>
          </w:p>
        </w:tc>
        <w:tc>
          <w:tcPr>
            <w:tcW w:w="1178" w:type="dxa"/>
          </w:tcPr>
          <w:p w14:paraId="0A109067">
            <w:pPr>
              <w:rPr>
                <w:highlight w:val="none"/>
              </w:rPr>
            </w:pPr>
          </w:p>
        </w:tc>
        <w:tc>
          <w:tcPr>
            <w:tcW w:w="6932" w:type="dxa"/>
          </w:tcPr>
          <w:p w14:paraId="5BCAFE35">
            <w:pPr>
              <w:pStyle w:val="15"/>
              <w:jc w:val="both"/>
              <w:rPr>
                <w:rFonts w:hint="default" w:eastAsiaTheme="minorEastAsia"/>
                <w:highlight w:val="none"/>
                <w:lang w:val="en-US" w:eastAsia="zh-CN"/>
              </w:rPr>
            </w:pPr>
            <w:r>
              <w:rPr>
                <w:b/>
                <w:highlight w:val="none"/>
              </w:rPr>
              <w:t>项目编号：</w:t>
            </w:r>
            <w:r>
              <w:rPr>
                <w:rFonts w:hint="eastAsia"/>
                <w:b/>
                <w:highlight w:val="none"/>
                <w:lang w:val="en-US" w:eastAsia="zh-CN"/>
              </w:rPr>
              <w:t>QZCGD2025003</w:t>
            </w:r>
          </w:p>
          <w:p w14:paraId="391CD987">
            <w:pPr>
              <w:pStyle w:val="15"/>
              <w:jc w:val="both"/>
              <w:rPr>
                <w:highlight w:val="none"/>
              </w:rPr>
            </w:pPr>
            <w:r>
              <w:rPr>
                <w:b/>
                <w:highlight w:val="none"/>
              </w:rPr>
              <w:t>项目名称：</w:t>
            </w:r>
            <w:r>
              <w:rPr>
                <w:rFonts w:hint="eastAsia"/>
                <w:b/>
                <w:sz w:val="20"/>
                <w:highlight w:val="none"/>
                <w:lang w:eastAsia="zh-CN"/>
              </w:rPr>
              <w:t>泉州市财政局远程异地评审扩容项目</w:t>
            </w:r>
          </w:p>
          <w:p w14:paraId="148598A1">
            <w:pPr>
              <w:pStyle w:val="15"/>
              <w:jc w:val="both"/>
              <w:rPr>
                <w:rFonts w:hint="eastAsia" w:eastAsiaTheme="minorEastAsia"/>
                <w:highlight w:val="none"/>
                <w:lang w:eastAsia="zh-CN"/>
              </w:rPr>
            </w:pPr>
            <w:r>
              <w:rPr>
                <w:b/>
                <w:highlight w:val="none"/>
              </w:rPr>
              <w:t>采购人名称：泉州市</w:t>
            </w:r>
            <w:r>
              <w:rPr>
                <w:rFonts w:hint="eastAsia"/>
                <w:b/>
                <w:highlight w:val="none"/>
                <w:lang w:eastAsia="zh-CN"/>
              </w:rPr>
              <w:t>财政局</w:t>
            </w:r>
          </w:p>
          <w:p w14:paraId="22F2A203">
            <w:pPr>
              <w:pStyle w:val="15"/>
              <w:jc w:val="both"/>
              <w:rPr>
                <w:highlight w:val="none"/>
              </w:rPr>
            </w:pPr>
            <w:r>
              <w:rPr>
                <w:b/>
                <w:highlight w:val="none"/>
              </w:rPr>
              <w:t>项目内容：详见采购标的一览表及采购文件第四章。</w:t>
            </w:r>
          </w:p>
        </w:tc>
      </w:tr>
      <w:tr w14:paraId="78CD1B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61379A8A">
            <w:pPr>
              <w:pStyle w:val="15"/>
              <w:jc w:val="both"/>
              <w:rPr>
                <w:highlight w:val="none"/>
              </w:rPr>
            </w:pPr>
            <w:r>
              <w:rPr>
                <w:b/>
                <w:highlight w:val="none"/>
              </w:rPr>
              <w:t>2</w:t>
            </w:r>
          </w:p>
        </w:tc>
        <w:tc>
          <w:tcPr>
            <w:tcW w:w="1178" w:type="dxa"/>
          </w:tcPr>
          <w:p w14:paraId="03D19395">
            <w:pPr>
              <w:pStyle w:val="15"/>
              <w:jc w:val="both"/>
              <w:rPr>
                <w:highlight w:val="none"/>
              </w:rPr>
            </w:pPr>
            <w:r>
              <w:rPr>
                <w:b/>
                <w:highlight w:val="none"/>
              </w:rPr>
              <w:t>3</w:t>
            </w:r>
          </w:p>
        </w:tc>
        <w:tc>
          <w:tcPr>
            <w:tcW w:w="6932" w:type="dxa"/>
          </w:tcPr>
          <w:p w14:paraId="7D0ED304">
            <w:pPr>
              <w:pStyle w:val="15"/>
              <w:jc w:val="both"/>
              <w:rPr>
                <w:highlight w:val="none"/>
              </w:rPr>
            </w:pPr>
            <w:r>
              <w:rPr>
                <w:b/>
                <w:highlight w:val="none"/>
              </w:rPr>
              <w:t>资格要求：</w:t>
            </w:r>
          </w:p>
          <w:p w14:paraId="59021436">
            <w:pPr>
              <w:pStyle w:val="15"/>
              <w:jc w:val="both"/>
              <w:rPr>
                <w:highlight w:val="none"/>
              </w:rPr>
            </w:pPr>
            <w:r>
              <w:rPr>
                <w:b/>
                <w:highlight w:val="none"/>
              </w:rPr>
              <w:t>1、 详见第一章《协商邀请》；</w:t>
            </w:r>
          </w:p>
          <w:p w14:paraId="7861C2A0">
            <w:pPr>
              <w:pStyle w:val="15"/>
              <w:jc w:val="both"/>
              <w:rPr>
                <w:highlight w:val="none"/>
              </w:rPr>
            </w:pPr>
            <w:r>
              <w:rPr>
                <w:b/>
                <w:highlight w:val="none"/>
              </w:rPr>
              <w:t>2、 在专家论证阶段是否已审核过供应商资格：</w:t>
            </w:r>
          </w:p>
          <w:p w14:paraId="1D7730D3">
            <w:pPr>
              <w:pStyle w:val="15"/>
              <w:jc w:val="both"/>
              <w:rPr>
                <w:rFonts w:hint="eastAsia" w:eastAsiaTheme="minorEastAsia"/>
                <w:highlight w:val="none"/>
                <w:lang w:eastAsia="zh-CN"/>
              </w:rPr>
            </w:pPr>
            <w:r>
              <w:rPr>
                <w:rFonts w:hint="eastAsia"/>
                <w:b/>
                <w:highlight w:val="none"/>
                <w:lang w:eastAsia="zh-CN"/>
              </w:rPr>
              <w:t>否</w:t>
            </w:r>
          </w:p>
          <w:p w14:paraId="34930A2B">
            <w:pPr>
              <w:pStyle w:val="15"/>
              <w:jc w:val="both"/>
              <w:rPr>
                <w:b/>
                <w:highlight w:val="none"/>
              </w:rPr>
            </w:pPr>
            <w:r>
              <w:rPr>
                <w:b/>
                <w:highlight w:val="none"/>
              </w:rPr>
              <w:t>注：</w:t>
            </w:r>
            <w:r>
              <w:rPr>
                <w:rFonts w:hint="eastAsia"/>
                <w:b/>
                <w:highlight w:val="none"/>
                <w:lang w:val="en-US" w:eastAsia="zh-CN"/>
              </w:rPr>
              <w:t>1、</w:t>
            </w:r>
            <w:r>
              <w:rPr>
                <w:b/>
                <w:highlight w:val="none"/>
              </w:rPr>
              <w:t>在专家论证阶段已审核过供应商资格的，在协商阶段协商小组无须重复审查；但供应商自身资格条件出现变化的须作出说明，并向协商小组补充提供相关材料，由协商小组重新进行审查。</w:t>
            </w:r>
          </w:p>
          <w:p w14:paraId="5B0F8B5A">
            <w:pPr>
              <w:pStyle w:val="15"/>
              <w:jc w:val="both"/>
              <w:rPr>
                <w:rFonts w:hint="eastAsia" w:eastAsiaTheme="minorEastAsia"/>
                <w:b/>
                <w:highlight w:val="none"/>
                <w:lang w:val="en-US" w:eastAsia="zh-CN"/>
              </w:rPr>
            </w:pPr>
            <w:r>
              <w:rPr>
                <w:rFonts w:hint="eastAsia"/>
                <w:b/>
                <w:highlight w:val="none"/>
                <w:lang w:val="en-US" w:eastAsia="zh-CN"/>
              </w:rPr>
              <w:t>2、</w:t>
            </w:r>
            <w:r>
              <w:rPr>
                <w:rFonts w:asciiTheme="minorHAnsi" w:hAnsiTheme="minorHAnsi" w:eastAsiaTheme="minorEastAsia" w:cstheme="minorBidi"/>
                <w:b/>
                <w:highlight w:val="none"/>
              </w:rPr>
              <w:t>①本</w:t>
            </w:r>
            <w:r>
              <w:rPr>
                <w:rFonts w:hint="eastAsia" w:cstheme="minorBidi"/>
                <w:b/>
                <w:highlight w:val="none"/>
                <w:lang w:eastAsia="zh-CN"/>
              </w:rPr>
              <w:t>项目</w:t>
            </w:r>
            <w:r>
              <w:rPr>
                <w:rFonts w:asciiTheme="minorHAnsi" w:hAnsiTheme="minorHAnsi" w:eastAsiaTheme="minorEastAsia" w:cstheme="minorBidi"/>
                <w:b/>
                <w:highlight w:val="none"/>
              </w:rPr>
              <w:t>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p w14:paraId="230402FA">
            <w:pPr>
              <w:pStyle w:val="15"/>
              <w:jc w:val="both"/>
              <w:rPr>
                <w:highlight w:val="none"/>
              </w:rPr>
            </w:pPr>
          </w:p>
          <w:p w14:paraId="683FD8B6">
            <w:pPr>
              <w:pStyle w:val="15"/>
              <w:jc w:val="both"/>
              <w:rPr>
                <w:highlight w:val="none"/>
              </w:rPr>
            </w:pPr>
            <w:r>
              <w:rPr>
                <w:b/>
                <w:highlight w:val="none"/>
              </w:rPr>
              <w:t>采购包1：</w:t>
            </w:r>
          </w:p>
          <w:tbl>
            <w:tblPr>
              <w:tblStyle w:val="12"/>
              <w:tblW w:w="674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9"/>
              <w:gridCol w:w="1021"/>
              <w:gridCol w:w="5307"/>
            </w:tblGrid>
            <w:tr w14:paraId="0C86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215C403B">
                  <w:pPr>
                    <w:pStyle w:val="15"/>
                    <w:jc w:val="both"/>
                    <w:rPr>
                      <w:highlight w:val="none"/>
                    </w:rPr>
                  </w:pPr>
                  <w:r>
                    <w:rPr>
                      <w:b/>
                      <w:highlight w:val="none"/>
                    </w:rPr>
                    <w:t>序号</w:t>
                  </w:r>
                </w:p>
              </w:tc>
              <w:tc>
                <w:tcPr>
                  <w:tcW w:w="1021" w:type="dxa"/>
                </w:tcPr>
                <w:p w14:paraId="59DA13BE">
                  <w:pPr>
                    <w:pStyle w:val="15"/>
                    <w:jc w:val="both"/>
                    <w:rPr>
                      <w:highlight w:val="none"/>
                    </w:rPr>
                  </w:pPr>
                  <w:r>
                    <w:rPr>
                      <w:b/>
                      <w:highlight w:val="none"/>
                    </w:rPr>
                    <w:t>资格审查要求概况</w:t>
                  </w:r>
                </w:p>
              </w:tc>
              <w:tc>
                <w:tcPr>
                  <w:tcW w:w="5307" w:type="dxa"/>
                </w:tcPr>
                <w:p w14:paraId="40D83B43">
                  <w:pPr>
                    <w:pStyle w:val="15"/>
                    <w:jc w:val="both"/>
                    <w:rPr>
                      <w:highlight w:val="none"/>
                    </w:rPr>
                  </w:pPr>
                  <w:r>
                    <w:rPr>
                      <w:b/>
                      <w:highlight w:val="none"/>
                    </w:rPr>
                    <w:t>评审点具体描述</w:t>
                  </w:r>
                </w:p>
              </w:tc>
            </w:tr>
            <w:tr w14:paraId="6F95EC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3475BE3B">
                  <w:pPr>
                    <w:pStyle w:val="15"/>
                    <w:jc w:val="both"/>
                    <w:rPr>
                      <w:highlight w:val="none"/>
                    </w:rPr>
                  </w:pPr>
                  <w:r>
                    <w:rPr>
                      <w:b/>
                      <w:highlight w:val="none"/>
                    </w:rPr>
                    <w:t>1</w:t>
                  </w:r>
                </w:p>
              </w:tc>
              <w:tc>
                <w:tcPr>
                  <w:tcW w:w="1021" w:type="dxa"/>
                </w:tcPr>
                <w:p w14:paraId="4FB29903">
                  <w:pPr>
                    <w:pStyle w:val="15"/>
                    <w:jc w:val="both"/>
                    <w:rPr>
                      <w:highlight w:val="none"/>
                    </w:rPr>
                  </w:pPr>
                  <w:r>
                    <w:rPr>
                      <w:b/>
                      <w:highlight w:val="none"/>
                    </w:rPr>
                    <w:t>协商响应申明函</w:t>
                  </w:r>
                </w:p>
              </w:tc>
              <w:tc>
                <w:tcPr>
                  <w:tcW w:w="5307" w:type="dxa"/>
                </w:tcPr>
                <w:p w14:paraId="51B9586B">
                  <w:pPr>
                    <w:pStyle w:val="15"/>
                    <w:jc w:val="both"/>
                    <w:rPr>
                      <w:highlight w:val="none"/>
                    </w:rPr>
                  </w:pPr>
                  <w:r>
                    <w:rPr>
                      <w:b/>
                      <w:highlight w:val="none"/>
                    </w:rPr>
                    <w:t>详见声明函</w:t>
                  </w:r>
                </w:p>
              </w:tc>
            </w:tr>
            <w:tr w14:paraId="251228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5988044E">
                  <w:pPr>
                    <w:pStyle w:val="15"/>
                    <w:jc w:val="both"/>
                    <w:rPr>
                      <w:highlight w:val="none"/>
                    </w:rPr>
                  </w:pPr>
                  <w:r>
                    <w:rPr>
                      <w:b/>
                      <w:highlight w:val="none"/>
                    </w:rPr>
                    <w:t>2</w:t>
                  </w:r>
                </w:p>
              </w:tc>
              <w:tc>
                <w:tcPr>
                  <w:tcW w:w="1021" w:type="dxa"/>
                </w:tcPr>
                <w:p w14:paraId="5B751602">
                  <w:pPr>
                    <w:pStyle w:val="15"/>
                    <w:jc w:val="both"/>
                    <w:rPr>
                      <w:highlight w:val="none"/>
                    </w:rPr>
                  </w:pPr>
                  <w:r>
                    <w:rPr>
                      <w:b/>
                      <w:highlight w:val="none"/>
                    </w:rPr>
                    <w:t>单位负责人授权书</w:t>
                  </w:r>
                </w:p>
              </w:tc>
              <w:tc>
                <w:tcPr>
                  <w:tcW w:w="5307" w:type="dxa"/>
                </w:tcPr>
                <w:p w14:paraId="2280BD58">
                  <w:pPr>
                    <w:pStyle w:val="15"/>
                    <w:jc w:val="both"/>
                    <w:rPr>
                      <w:highlight w:val="none"/>
                    </w:rPr>
                  </w:pPr>
                  <w:r>
                    <w:rPr>
                      <w:b/>
                      <w:highlight w:val="none"/>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14:paraId="4C88BA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56B42AE8">
                  <w:pPr>
                    <w:pStyle w:val="15"/>
                    <w:jc w:val="both"/>
                    <w:rPr>
                      <w:highlight w:val="none"/>
                    </w:rPr>
                  </w:pPr>
                  <w:r>
                    <w:rPr>
                      <w:b/>
                      <w:highlight w:val="none"/>
                    </w:rPr>
                    <w:t>3</w:t>
                  </w:r>
                </w:p>
              </w:tc>
              <w:tc>
                <w:tcPr>
                  <w:tcW w:w="1021" w:type="dxa"/>
                </w:tcPr>
                <w:p w14:paraId="63C6AD71">
                  <w:pPr>
                    <w:pStyle w:val="15"/>
                    <w:jc w:val="both"/>
                    <w:rPr>
                      <w:highlight w:val="none"/>
                    </w:rPr>
                  </w:pPr>
                  <w:r>
                    <w:rPr>
                      <w:b/>
                      <w:highlight w:val="none"/>
                    </w:rPr>
                    <w:t>营业执照等证明文件</w:t>
                  </w:r>
                </w:p>
              </w:tc>
              <w:tc>
                <w:tcPr>
                  <w:tcW w:w="5307" w:type="dxa"/>
                </w:tcPr>
                <w:p w14:paraId="323016B9">
                  <w:pPr>
                    <w:pStyle w:val="15"/>
                    <w:jc w:val="both"/>
                    <w:rPr>
                      <w:highlight w:val="none"/>
                    </w:rPr>
                  </w:pPr>
                  <w:r>
                    <w:rPr>
                      <w:b/>
                      <w:highlight w:val="none"/>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14:paraId="4DE32B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10F7D101">
                  <w:pPr>
                    <w:pStyle w:val="15"/>
                    <w:jc w:val="both"/>
                    <w:rPr>
                      <w:highlight w:val="none"/>
                    </w:rPr>
                  </w:pPr>
                  <w:r>
                    <w:rPr>
                      <w:b/>
                      <w:highlight w:val="none"/>
                    </w:rPr>
                    <w:t>4</w:t>
                  </w:r>
                </w:p>
              </w:tc>
              <w:tc>
                <w:tcPr>
                  <w:tcW w:w="1021" w:type="dxa"/>
                </w:tcPr>
                <w:p w14:paraId="0E43C7FC">
                  <w:pPr>
                    <w:pStyle w:val="15"/>
                    <w:jc w:val="both"/>
                    <w:rPr>
                      <w:highlight w:val="none"/>
                    </w:rPr>
                  </w:pPr>
                  <w:r>
                    <w:rPr>
                      <w:b/>
                      <w:highlight w:val="none"/>
                    </w:rPr>
                    <w:t>提供财务状况报告（财务报告、或资信证明）</w:t>
                  </w:r>
                </w:p>
              </w:tc>
              <w:tc>
                <w:tcPr>
                  <w:tcW w:w="5307" w:type="dxa"/>
                </w:tcPr>
                <w:p w14:paraId="26A20812">
                  <w:pPr>
                    <w:pStyle w:val="15"/>
                    <w:jc w:val="both"/>
                    <w:rPr>
                      <w:highlight w:val="none"/>
                    </w:rPr>
                  </w:pPr>
                  <w:r>
                    <w:rPr>
                      <w:b/>
                      <w:highlight w:val="none"/>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14:paraId="5E3E54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5D96ABBE">
                  <w:pPr>
                    <w:pStyle w:val="15"/>
                    <w:jc w:val="both"/>
                    <w:rPr>
                      <w:highlight w:val="none"/>
                    </w:rPr>
                  </w:pPr>
                  <w:r>
                    <w:rPr>
                      <w:b/>
                      <w:highlight w:val="none"/>
                    </w:rPr>
                    <w:t>5</w:t>
                  </w:r>
                </w:p>
              </w:tc>
              <w:tc>
                <w:tcPr>
                  <w:tcW w:w="1021" w:type="dxa"/>
                </w:tcPr>
                <w:p w14:paraId="09FD1652">
                  <w:pPr>
                    <w:pStyle w:val="15"/>
                    <w:jc w:val="both"/>
                    <w:rPr>
                      <w:highlight w:val="none"/>
                    </w:rPr>
                  </w:pPr>
                  <w:r>
                    <w:rPr>
                      <w:b/>
                      <w:highlight w:val="none"/>
                    </w:rPr>
                    <w:t>依法缴纳税收的证明材料</w:t>
                  </w:r>
                </w:p>
              </w:tc>
              <w:tc>
                <w:tcPr>
                  <w:tcW w:w="5307" w:type="dxa"/>
                </w:tcPr>
                <w:p w14:paraId="54C1EA96">
                  <w:pPr>
                    <w:pStyle w:val="15"/>
                    <w:jc w:val="both"/>
                    <w:rPr>
                      <w:highlight w:val="none"/>
                    </w:rPr>
                  </w:pPr>
                  <w:r>
                    <w:rPr>
                      <w:b/>
                      <w:highlight w:val="none"/>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14:paraId="604B0C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3762882F">
                  <w:pPr>
                    <w:pStyle w:val="15"/>
                    <w:jc w:val="both"/>
                    <w:rPr>
                      <w:highlight w:val="none"/>
                    </w:rPr>
                  </w:pPr>
                  <w:r>
                    <w:rPr>
                      <w:b/>
                      <w:highlight w:val="none"/>
                    </w:rPr>
                    <w:t>6</w:t>
                  </w:r>
                </w:p>
              </w:tc>
              <w:tc>
                <w:tcPr>
                  <w:tcW w:w="1021" w:type="dxa"/>
                </w:tcPr>
                <w:p w14:paraId="12AE932F">
                  <w:pPr>
                    <w:pStyle w:val="15"/>
                    <w:jc w:val="both"/>
                    <w:rPr>
                      <w:highlight w:val="none"/>
                    </w:rPr>
                  </w:pPr>
                  <w:r>
                    <w:rPr>
                      <w:b/>
                      <w:highlight w:val="none"/>
                    </w:rPr>
                    <w:t>依法缴纳社会保障资金的证明材料</w:t>
                  </w:r>
                </w:p>
              </w:tc>
              <w:tc>
                <w:tcPr>
                  <w:tcW w:w="5307" w:type="dxa"/>
                </w:tcPr>
                <w:p w14:paraId="6868C30B">
                  <w:pPr>
                    <w:pStyle w:val="15"/>
                    <w:jc w:val="both"/>
                    <w:rPr>
                      <w:highlight w:val="none"/>
                    </w:rPr>
                  </w:pPr>
                  <w:r>
                    <w:rPr>
                      <w:b/>
                      <w:highlight w:val="none"/>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14:paraId="585437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564DDDD0">
                  <w:pPr>
                    <w:pStyle w:val="15"/>
                    <w:jc w:val="both"/>
                    <w:rPr>
                      <w:highlight w:val="none"/>
                    </w:rPr>
                  </w:pPr>
                  <w:r>
                    <w:rPr>
                      <w:b/>
                      <w:highlight w:val="none"/>
                    </w:rPr>
                    <w:t>7</w:t>
                  </w:r>
                </w:p>
              </w:tc>
              <w:tc>
                <w:tcPr>
                  <w:tcW w:w="1021" w:type="dxa"/>
                </w:tcPr>
                <w:p w14:paraId="142EA89F">
                  <w:pPr>
                    <w:pStyle w:val="15"/>
                    <w:jc w:val="both"/>
                    <w:rPr>
                      <w:highlight w:val="none"/>
                    </w:rPr>
                  </w:pPr>
                  <w:r>
                    <w:rPr>
                      <w:b/>
                      <w:highlight w:val="none"/>
                    </w:rPr>
                    <w:t>具备履行合同所必需设备和专业技术能力的声明函(若有)</w:t>
                  </w:r>
                </w:p>
              </w:tc>
              <w:tc>
                <w:tcPr>
                  <w:tcW w:w="5307" w:type="dxa"/>
                </w:tcPr>
                <w:p w14:paraId="1F6DFCB0">
                  <w:pPr>
                    <w:pStyle w:val="15"/>
                    <w:jc w:val="both"/>
                    <w:rPr>
                      <w:highlight w:val="none"/>
                    </w:rPr>
                  </w:pPr>
                  <w:r>
                    <w:rPr>
                      <w:b/>
                      <w:highlight w:val="none"/>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14:paraId="116EAA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79ED7437">
                  <w:pPr>
                    <w:pStyle w:val="15"/>
                    <w:jc w:val="both"/>
                    <w:rPr>
                      <w:highlight w:val="none"/>
                    </w:rPr>
                  </w:pPr>
                  <w:r>
                    <w:rPr>
                      <w:b/>
                      <w:highlight w:val="none"/>
                    </w:rPr>
                    <w:t>8</w:t>
                  </w:r>
                </w:p>
              </w:tc>
              <w:tc>
                <w:tcPr>
                  <w:tcW w:w="1021" w:type="dxa"/>
                </w:tcPr>
                <w:p w14:paraId="2A7639FF">
                  <w:pPr>
                    <w:pStyle w:val="15"/>
                    <w:jc w:val="both"/>
                    <w:rPr>
                      <w:highlight w:val="none"/>
                    </w:rPr>
                  </w:pPr>
                  <w:r>
                    <w:rPr>
                      <w:b/>
                      <w:highlight w:val="none"/>
                    </w:rPr>
                    <w:t>参加采购活动前三年内在经营活动中没有重大违法记录的声明</w:t>
                  </w:r>
                </w:p>
              </w:tc>
              <w:tc>
                <w:tcPr>
                  <w:tcW w:w="5307" w:type="dxa"/>
                </w:tcPr>
                <w:p w14:paraId="17D004C1">
                  <w:pPr>
                    <w:pStyle w:val="15"/>
                    <w:jc w:val="both"/>
                    <w:rPr>
                      <w:highlight w:val="none"/>
                    </w:rPr>
                  </w:pPr>
                  <w:r>
                    <w:rPr>
                      <w:b/>
                      <w:highlight w:val="none"/>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24843C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00F1DB54">
                  <w:pPr>
                    <w:pStyle w:val="15"/>
                    <w:jc w:val="both"/>
                    <w:rPr>
                      <w:highlight w:val="none"/>
                    </w:rPr>
                  </w:pPr>
                  <w:r>
                    <w:rPr>
                      <w:b/>
                      <w:highlight w:val="none"/>
                    </w:rPr>
                    <w:t>9</w:t>
                  </w:r>
                </w:p>
              </w:tc>
              <w:tc>
                <w:tcPr>
                  <w:tcW w:w="1021" w:type="dxa"/>
                </w:tcPr>
                <w:p w14:paraId="2BE53130">
                  <w:pPr>
                    <w:pStyle w:val="15"/>
                    <w:jc w:val="both"/>
                    <w:rPr>
                      <w:highlight w:val="none"/>
                    </w:rPr>
                  </w:pPr>
                  <w:r>
                    <w:rPr>
                      <w:b/>
                      <w:highlight w:val="none"/>
                    </w:rPr>
                    <w:t>信用信息查询结果</w:t>
                  </w:r>
                </w:p>
              </w:tc>
              <w:tc>
                <w:tcPr>
                  <w:tcW w:w="5307" w:type="dxa"/>
                </w:tcPr>
                <w:p w14:paraId="607398D9">
                  <w:pPr>
                    <w:pStyle w:val="15"/>
                    <w:jc w:val="both"/>
                    <w:rPr>
                      <w:highlight w:val="none"/>
                    </w:rPr>
                  </w:pPr>
                  <w:r>
                    <w:rPr>
                      <w:b/>
                      <w:highlight w:val="none"/>
                    </w:rPr>
                    <w:t>①信用记录查询的截止时点：信用记录查询的截止时点为本项目提交响应文件截止时间当日。②信用记录查询渠道：信用中国（www.creditchina.gov.cn）、中国政府采购网（www.ccgp.gov.cn）。③信用记录的查询：由协商小组通过上述网站查询并打印供应商的信用记录。④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2211D4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27F830A1">
                  <w:pPr>
                    <w:pStyle w:val="15"/>
                    <w:jc w:val="both"/>
                    <w:rPr>
                      <w:highlight w:val="none"/>
                    </w:rPr>
                  </w:pPr>
                  <w:r>
                    <w:rPr>
                      <w:b/>
                      <w:highlight w:val="none"/>
                    </w:rPr>
                    <w:t>10</w:t>
                  </w:r>
                </w:p>
              </w:tc>
              <w:tc>
                <w:tcPr>
                  <w:tcW w:w="1021" w:type="dxa"/>
                </w:tcPr>
                <w:p w14:paraId="7555D26A">
                  <w:pPr>
                    <w:pStyle w:val="15"/>
                    <w:jc w:val="both"/>
                    <w:rPr>
                      <w:highlight w:val="none"/>
                    </w:rPr>
                  </w:pPr>
                  <w:r>
                    <w:rPr>
                      <w:b/>
                      <w:highlight w:val="none"/>
                    </w:rPr>
                    <w:t>中小企业声明函（以资格条件落实中小企业扶持政策时适用 ）</w:t>
                  </w:r>
                </w:p>
              </w:tc>
              <w:tc>
                <w:tcPr>
                  <w:tcW w:w="5307" w:type="dxa"/>
                </w:tcPr>
                <w:p w14:paraId="20058C98">
                  <w:pPr>
                    <w:pStyle w:val="15"/>
                    <w:jc w:val="both"/>
                    <w:rPr>
                      <w:highlight w:val="none"/>
                    </w:rPr>
                  </w:pPr>
                  <w:r>
                    <w:rPr>
                      <w:b/>
                      <w:highlight w:val="none"/>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14:paraId="51B5B7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17D14197">
                  <w:pPr>
                    <w:pStyle w:val="15"/>
                    <w:jc w:val="both"/>
                    <w:rPr>
                      <w:highlight w:val="none"/>
                    </w:rPr>
                  </w:pPr>
                  <w:r>
                    <w:rPr>
                      <w:b/>
                      <w:highlight w:val="none"/>
                    </w:rPr>
                    <w:t>11</w:t>
                  </w:r>
                </w:p>
              </w:tc>
              <w:tc>
                <w:tcPr>
                  <w:tcW w:w="1021" w:type="dxa"/>
                </w:tcPr>
                <w:p w14:paraId="25A7940E">
                  <w:pPr>
                    <w:pStyle w:val="15"/>
                    <w:jc w:val="both"/>
                    <w:rPr>
                      <w:highlight w:val="none"/>
                    </w:rPr>
                  </w:pPr>
                  <w:r>
                    <w:rPr>
                      <w:b/>
                      <w:highlight w:val="none"/>
                    </w:rPr>
                    <w:t>联合体协议（若有）</w:t>
                  </w:r>
                </w:p>
              </w:tc>
              <w:tc>
                <w:tcPr>
                  <w:tcW w:w="5307" w:type="dxa"/>
                </w:tcPr>
                <w:p w14:paraId="638E5371">
                  <w:pPr>
                    <w:pStyle w:val="15"/>
                    <w:jc w:val="both"/>
                    <w:rPr>
                      <w:highlight w:val="none"/>
                    </w:rPr>
                  </w:pPr>
                  <w:r>
                    <w:rPr>
                      <w:b/>
                      <w:highlight w:val="none"/>
                    </w:rPr>
                    <w:t>①采购文件接受联合体报价且供应商为联合体的，供应商应提供本协议；否则无须提供。②本协议由委托代理人签字或盖章的，应按照采购文件第六章载明的格式提供“单位负责人授权书”。</w:t>
                  </w:r>
                </w:p>
              </w:tc>
            </w:tr>
          </w:tbl>
          <w:p w14:paraId="23ED4B2A">
            <w:pPr>
              <w:rPr>
                <w:highlight w:val="none"/>
              </w:rPr>
            </w:pPr>
          </w:p>
        </w:tc>
      </w:tr>
      <w:tr w14:paraId="5AF3F5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69D6974F">
            <w:pPr>
              <w:pStyle w:val="15"/>
              <w:jc w:val="both"/>
              <w:rPr>
                <w:highlight w:val="none"/>
              </w:rPr>
            </w:pPr>
            <w:r>
              <w:rPr>
                <w:b/>
                <w:highlight w:val="none"/>
              </w:rPr>
              <w:t>3</w:t>
            </w:r>
          </w:p>
        </w:tc>
        <w:tc>
          <w:tcPr>
            <w:tcW w:w="1178" w:type="dxa"/>
          </w:tcPr>
          <w:p w14:paraId="3365CFE6">
            <w:pPr>
              <w:pStyle w:val="15"/>
              <w:jc w:val="both"/>
              <w:rPr>
                <w:highlight w:val="none"/>
              </w:rPr>
            </w:pPr>
            <w:r>
              <w:rPr>
                <w:b/>
                <w:highlight w:val="none"/>
              </w:rPr>
              <w:t>6.4</w:t>
            </w:r>
          </w:p>
        </w:tc>
        <w:tc>
          <w:tcPr>
            <w:tcW w:w="6932" w:type="dxa"/>
          </w:tcPr>
          <w:p w14:paraId="44CECE69">
            <w:pPr>
              <w:pStyle w:val="15"/>
              <w:jc w:val="both"/>
              <w:rPr>
                <w:highlight w:val="none"/>
              </w:rPr>
            </w:pPr>
            <w:r>
              <w:rPr>
                <w:b/>
                <w:highlight w:val="none"/>
              </w:rPr>
              <w:t>响应文件份数：</w:t>
            </w:r>
          </w:p>
          <w:p w14:paraId="3B5511C5">
            <w:pPr>
              <w:pStyle w:val="15"/>
              <w:jc w:val="both"/>
              <w:rPr>
                <w:highlight w:val="none"/>
              </w:rPr>
            </w:pPr>
            <w:r>
              <w:rPr>
                <w:b/>
                <w:highlight w:val="none"/>
              </w:rPr>
              <w:t>正本</w:t>
            </w:r>
            <w:r>
              <w:rPr>
                <w:rFonts w:hint="eastAsia"/>
                <w:b/>
                <w:highlight w:val="none"/>
                <w:lang w:val="en-US" w:eastAsia="zh-CN"/>
              </w:rPr>
              <w:t>1</w:t>
            </w:r>
            <w:r>
              <w:rPr>
                <w:b/>
                <w:highlight w:val="none"/>
              </w:rPr>
              <w:t>份、副本</w:t>
            </w:r>
            <w:r>
              <w:rPr>
                <w:rFonts w:hint="eastAsia"/>
                <w:b/>
                <w:highlight w:val="none"/>
                <w:lang w:val="en-US" w:eastAsia="zh-CN"/>
              </w:rPr>
              <w:t>3</w:t>
            </w:r>
            <w:r>
              <w:rPr>
                <w:b/>
                <w:highlight w:val="none"/>
              </w:rPr>
              <w:t>份，电子文本（使用PDF格式）1 份。</w:t>
            </w:r>
          </w:p>
          <w:p w14:paraId="2FEB28FA">
            <w:pPr>
              <w:pStyle w:val="15"/>
              <w:jc w:val="both"/>
              <w:rPr>
                <w:highlight w:val="none"/>
              </w:rPr>
            </w:pPr>
            <w:r>
              <w:rPr>
                <w:b/>
                <w:highlight w:val="none"/>
              </w:rPr>
              <w:t>响应文件的编制要求详见本须知第6.5条“响应文件的格式”；</w:t>
            </w:r>
          </w:p>
        </w:tc>
      </w:tr>
      <w:tr w14:paraId="176028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349A9993">
            <w:pPr>
              <w:pStyle w:val="15"/>
              <w:jc w:val="both"/>
              <w:rPr>
                <w:highlight w:val="none"/>
              </w:rPr>
            </w:pPr>
            <w:r>
              <w:rPr>
                <w:b/>
                <w:highlight w:val="none"/>
              </w:rPr>
              <w:t>4</w:t>
            </w:r>
          </w:p>
        </w:tc>
        <w:tc>
          <w:tcPr>
            <w:tcW w:w="1178" w:type="dxa"/>
          </w:tcPr>
          <w:p w14:paraId="064B1083">
            <w:pPr>
              <w:pStyle w:val="15"/>
              <w:jc w:val="both"/>
              <w:rPr>
                <w:highlight w:val="none"/>
              </w:rPr>
            </w:pPr>
            <w:r>
              <w:rPr>
                <w:b/>
                <w:highlight w:val="none"/>
              </w:rPr>
              <w:t>6.6</w:t>
            </w:r>
          </w:p>
        </w:tc>
        <w:tc>
          <w:tcPr>
            <w:tcW w:w="6932" w:type="dxa"/>
          </w:tcPr>
          <w:p w14:paraId="49610CD3">
            <w:pPr>
              <w:pStyle w:val="15"/>
              <w:jc w:val="both"/>
              <w:rPr>
                <w:highlight w:val="none"/>
              </w:rPr>
            </w:pPr>
            <w:r>
              <w:rPr>
                <w:b/>
                <w:highlight w:val="none"/>
              </w:rPr>
              <w:t>最高限价：本次采购项目最高限价详见《采购标的一览表》。供应商报价超出最高限价者，按无效报价处理。</w:t>
            </w:r>
          </w:p>
        </w:tc>
      </w:tr>
      <w:tr w14:paraId="557B93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567A046C">
            <w:pPr>
              <w:pStyle w:val="15"/>
              <w:jc w:val="both"/>
              <w:rPr>
                <w:highlight w:val="none"/>
              </w:rPr>
            </w:pPr>
            <w:r>
              <w:rPr>
                <w:b/>
                <w:highlight w:val="none"/>
              </w:rPr>
              <w:t>5</w:t>
            </w:r>
          </w:p>
        </w:tc>
        <w:tc>
          <w:tcPr>
            <w:tcW w:w="1178" w:type="dxa"/>
          </w:tcPr>
          <w:p w14:paraId="3B9E3AD6">
            <w:pPr>
              <w:pStyle w:val="15"/>
              <w:jc w:val="both"/>
              <w:rPr>
                <w:highlight w:val="none"/>
              </w:rPr>
            </w:pPr>
            <w:r>
              <w:rPr>
                <w:b/>
                <w:highlight w:val="none"/>
              </w:rPr>
              <w:t>6.7</w:t>
            </w:r>
          </w:p>
        </w:tc>
        <w:tc>
          <w:tcPr>
            <w:tcW w:w="6932" w:type="dxa"/>
          </w:tcPr>
          <w:p w14:paraId="5DA67803">
            <w:pPr>
              <w:pStyle w:val="15"/>
              <w:jc w:val="both"/>
              <w:rPr>
                <w:highlight w:val="none"/>
              </w:rPr>
            </w:pPr>
            <w:r>
              <w:rPr>
                <w:b/>
                <w:highlight w:val="none"/>
              </w:rPr>
              <w:t>响应有效期：提交响应文件截止时间结束后180日历日。</w:t>
            </w:r>
          </w:p>
          <w:p w14:paraId="10217497">
            <w:pPr>
              <w:pStyle w:val="15"/>
              <w:jc w:val="both"/>
              <w:rPr>
                <w:highlight w:val="none"/>
              </w:rPr>
            </w:pPr>
            <w:r>
              <w:rPr>
                <w:b/>
                <w:highlight w:val="none"/>
              </w:rPr>
              <w:t>有效期不足将导致其响应文件被拒绝。</w:t>
            </w:r>
          </w:p>
        </w:tc>
      </w:tr>
      <w:tr w14:paraId="78A3C3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053AAA1A">
            <w:pPr>
              <w:pStyle w:val="15"/>
              <w:jc w:val="both"/>
              <w:rPr>
                <w:highlight w:val="none"/>
              </w:rPr>
            </w:pPr>
            <w:r>
              <w:rPr>
                <w:b/>
                <w:highlight w:val="none"/>
              </w:rPr>
              <w:t>6</w:t>
            </w:r>
          </w:p>
        </w:tc>
        <w:tc>
          <w:tcPr>
            <w:tcW w:w="1178" w:type="dxa"/>
          </w:tcPr>
          <w:p w14:paraId="7960DA2F">
            <w:pPr>
              <w:pStyle w:val="15"/>
              <w:jc w:val="both"/>
              <w:rPr>
                <w:highlight w:val="none"/>
              </w:rPr>
            </w:pPr>
            <w:r>
              <w:rPr>
                <w:b/>
                <w:highlight w:val="none"/>
              </w:rPr>
              <w:t>11.1</w:t>
            </w:r>
          </w:p>
        </w:tc>
        <w:tc>
          <w:tcPr>
            <w:tcW w:w="6932" w:type="dxa"/>
          </w:tcPr>
          <w:p w14:paraId="6E195869">
            <w:pPr>
              <w:pStyle w:val="15"/>
              <w:jc w:val="both"/>
              <w:rPr>
                <w:highlight w:val="none"/>
              </w:rPr>
            </w:pPr>
            <w:r>
              <w:rPr>
                <w:b/>
                <w:highlight w:val="none"/>
              </w:rPr>
              <w:t>协商标准和方法：在保证本项目质量的前提下，与供应商商定合理的成交价格。</w:t>
            </w:r>
          </w:p>
        </w:tc>
      </w:tr>
      <w:tr w14:paraId="7D1883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65ACCB00">
            <w:pPr>
              <w:pStyle w:val="15"/>
              <w:jc w:val="both"/>
              <w:rPr>
                <w:highlight w:val="none"/>
              </w:rPr>
            </w:pPr>
            <w:r>
              <w:rPr>
                <w:b/>
                <w:highlight w:val="none"/>
              </w:rPr>
              <w:t>7</w:t>
            </w:r>
          </w:p>
        </w:tc>
        <w:tc>
          <w:tcPr>
            <w:tcW w:w="1178" w:type="dxa"/>
          </w:tcPr>
          <w:p w14:paraId="0BF42653">
            <w:pPr>
              <w:pStyle w:val="15"/>
              <w:jc w:val="both"/>
              <w:rPr>
                <w:highlight w:val="none"/>
              </w:rPr>
            </w:pPr>
            <w:r>
              <w:rPr>
                <w:b/>
                <w:highlight w:val="none"/>
              </w:rPr>
              <w:t>12.1</w:t>
            </w:r>
          </w:p>
        </w:tc>
        <w:tc>
          <w:tcPr>
            <w:tcW w:w="6932" w:type="dxa"/>
          </w:tcPr>
          <w:p w14:paraId="4EB181BA">
            <w:pPr>
              <w:pStyle w:val="15"/>
              <w:jc w:val="both"/>
              <w:rPr>
                <w:highlight w:val="none"/>
              </w:rPr>
            </w:pPr>
            <w:r>
              <w:rPr>
                <w:b/>
                <w:highlight w:val="none"/>
              </w:rPr>
              <w:t>履约保证金：</w:t>
            </w:r>
          </w:p>
          <w:p w14:paraId="56A3A058">
            <w:pPr>
              <w:pStyle w:val="15"/>
              <w:jc w:val="both"/>
              <w:rPr>
                <w:highlight w:val="none"/>
              </w:rPr>
            </w:pPr>
            <w:r>
              <w:rPr>
                <w:b/>
                <w:highlight w:val="none"/>
              </w:rPr>
              <w:t>采购包1：</w:t>
            </w:r>
            <w:r>
              <w:rPr>
                <w:rFonts w:hint="eastAsia"/>
                <w:b/>
                <w:highlight w:val="none"/>
                <w:lang w:eastAsia="zh-CN"/>
              </w:rPr>
              <w:t>无需</w:t>
            </w:r>
            <w:r>
              <w:rPr>
                <w:b/>
                <w:highlight w:val="none"/>
              </w:rPr>
              <w:t>缴纳</w:t>
            </w:r>
          </w:p>
        </w:tc>
      </w:tr>
      <w:tr w14:paraId="4E346E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23F07540">
            <w:pPr>
              <w:pStyle w:val="15"/>
              <w:jc w:val="both"/>
              <w:rPr>
                <w:highlight w:val="none"/>
              </w:rPr>
            </w:pPr>
            <w:r>
              <w:rPr>
                <w:b/>
                <w:highlight w:val="none"/>
              </w:rPr>
              <w:t>8</w:t>
            </w:r>
          </w:p>
        </w:tc>
        <w:tc>
          <w:tcPr>
            <w:tcW w:w="1178" w:type="dxa"/>
          </w:tcPr>
          <w:p w14:paraId="698DBBAB">
            <w:pPr>
              <w:rPr>
                <w:highlight w:val="none"/>
              </w:rPr>
            </w:pPr>
          </w:p>
        </w:tc>
        <w:tc>
          <w:tcPr>
            <w:tcW w:w="6932" w:type="dxa"/>
          </w:tcPr>
          <w:p w14:paraId="5C129F45">
            <w:pPr>
              <w:pStyle w:val="15"/>
              <w:jc w:val="both"/>
              <w:rPr>
                <w:highlight w:val="none"/>
              </w:rPr>
            </w:pPr>
            <w:r>
              <w:rPr>
                <w:b/>
                <w:highlight w:val="none"/>
              </w:rPr>
              <w:t>监督管理部门：泉州市财政局政府采购监督管理办公室</w:t>
            </w:r>
          </w:p>
        </w:tc>
      </w:tr>
      <w:tr w14:paraId="588C3F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690DD32A">
            <w:pPr>
              <w:pStyle w:val="15"/>
              <w:jc w:val="both"/>
              <w:rPr>
                <w:highlight w:val="none"/>
              </w:rPr>
            </w:pPr>
            <w:r>
              <w:rPr>
                <w:b/>
                <w:highlight w:val="none"/>
              </w:rPr>
              <w:t>9</w:t>
            </w:r>
          </w:p>
        </w:tc>
        <w:tc>
          <w:tcPr>
            <w:tcW w:w="1178" w:type="dxa"/>
          </w:tcPr>
          <w:p w14:paraId="241FC161">
            <w:pPr>
              <w:pStyle w:val="15"/>
              <w:jc w:val="both"/>
              <w:rPr>
                <w:highlight w:val="none"/>
              </w:rPr>
            </w:pPr>
            <w:r>
              <w:rPr>
                <w:b/>
                <w:highlight w:val="none"/>
              </w:rPr>
              <w:t>16.3</w:t>
            </w:r>
          </w:p>
        </w:tc>
        <w:tc>
          <w:tcPr>
            <w:tcW w:w="6932" w:type="dxa"/>
          </w:tcPr>
          <w:p w14:paraId="26F9EB5E">
            <w:pPr>
              <w:pStyle w:val="15"/>
              <w:jc w:val="both"/>
              <w:rPr>
                <w:highlight w:val="none"/>
              </w:rPr>
            </w:pPr>
            <w:r>
              <w:rPr>
                <w:b/>
                <w:highlight w:val="none"/>
              </w:rPr>
              <w:t>合同签订时限：自中标通知书发出之日起</w:t>
            </w:r>
            <w:r>
              <w:rPr>
                <w:rFonts w:hint="eastAsia"/>
                <w:b/>
                <w:highlight w:val="none"/>
                <w:lang w:val="en-US" w:eastAsia="zh-CN"/>
              </w:rPr>
              <w:t>3</w:t>
            </w:r>
            <w:r>
              <w:rPr>
                <w:b/>
                <w:highlight w:val="none"/>
              </w:rPr>
              <w:t>0个日历日内。</w:t>
            </w:r>
          </w:p>
        </w:tc>
      </w:tr>
      <w:tr w14:paraId="03A573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52107DB6">
            <w:pPr>
              <w:pStyle w:val="15"/>
              <w:jc w:val="both"/>
              <w:rPr>
                <w:highlight w:val="none"/>
              </w:rPr>
            </w:pPr>
            <w:r>
              <w:rPr>
                <w:b/>
                <w:highlight w:val="none"/>
              </w:rPr>
              <w:t>10</w:t>
            </w:r>
          </w:p>
        </w:tc>
        <w:tc>
          <w:tcPr>
            <w:tcW w:w="1178" w:type="dxa"/>
          </w:tcPr>
          <w:p w14:paraId="6ED1CC68">
            <w:pPr>
              <w:rPr>
                <w:highlight w:val="none"/>
              </w:rPr>
            </w:pPr>
          </w:p>
        </w:tc>
        <w:tc>
          <w:tcPr>
            <w:tcW w:w="6932" w:type="dxa"/>
          </w:tcPr>
          <w:p w14:paraId="1894C3FC">
            <w:pPr>
              <w:pStyle w:val="15"/>
              <w:jc w:val="both"/>
              <w:rPr>
                <w:highlight w:val="none"/>
              </w:rPr>
            </w:pPr>
            <w:r>
              <w:rPr>
                <w:b/>
                <w:highlight w:val="none"/>
              </w:rPr>
              <w:t>信息发布媒体（以下简称：“指定媒体”）：</w:t>
            </w:r>
            <w:r>
              <w:rPr>
                <w:rFonts w:hint="eastAsia" w:ascii="宋体" w:hAnsi="宋体" w:eastAsia="宋体" w:cs="宋体"/>
                <w:b/>
                <w:sz w:val="21"/>
                <w:szCs w:val="21"/>
                <w:highlight w:val="none"/>
                <w:lang w:val="en-US" w:eastAsia="zh-CN"/>
              </w:rPr>
              <w:t>泉州市财政局，网址：</w:t>
            </w:r>
            <w:r>
              <w:rPr>
                <w:rFonts w:hint="eastAsia" w:ascii="宋体" w:hAnsi="宋体" w:eastAsia="宋体" w:cs="宋体"/>
                <w:b/>
                <w:sz w:val="21"/>
                <w:szCs w:val="21"/>
                <w:highlight w:val="none"/>
              </w:rPr>
              <w:t>http://czj.quanzhou.gov.cn</w:t>
            </w:r>
          </w:p>
        </w:tc>
      </w:tr>
      <w:tr w14:paraId="753E3C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4C8E51E6">
            <w:pPr>
              <w:pStyle w:val="15"/>
              <w:jc w:val="both"/>
              <w:rPr>
                <w:highlight w:val="none"/>
              </w:rPr>
            </w:pPr>
            <w:r>
              <w:rPr>
                <w:b/>
                <w:highlight w:val="none"/>
              </w:rPr>
              <w:t>11</w:t>
            </w:r>
          </w:p>
        </w:tc>
        <w:tc>
          <w:tcPr>
            <w:tcW w:w="1178" w:type="dxa"/>
          </w:tcPr>
          <w:p w14:paraId="2E4064AA">
            <w:pPr>
              <w:rPr>
                <w:highlight w:val="none"/>
              </w:rPr>
            </w:pPr>
          </w:p>
        </w:tc>
        <w:tc>
          <w:tcPr>
            <w:tcW w:w="6932" w:type="dxa"/>
          </w:tcPr>
          <w:p w14:paraId="7D34F282">
            <w:pPr>
              <w:pStyle w:val="15"/>
              <w:jc w:val="both"/>
              <w:rPr>
                <w:highlight w:val="none"/>
              </w:rPr>
            </w:pPr>
            <w:r>
              <w:rPr>
                <w:b/>
                <w:highlight w:val="none"/>
              </w:rPr>
              <w:t>采购代理服务费：</w:t>
            </w:r>
          </w:p>
          <w:p w14:paraId="0CF986B8">
            <w:pPr>
              <w:pStyle w:val="15"/>
              <w:jc w:val="both"/>
              <w:rPr>
                <w:highlight w:val="none"/>
              </w:rPr>
            </w:pPr>
            <w:r>
              <w:rPr>
                <w:b/>
                <w:highlight w:val="none"/>
              </w:rPr>
              <w:t>本项目不收取代理服务费</w:t>
            </w:r>
          </w:p>
        </w:tc>
      </w:tr>
      <w:tr w14:paraId="42417D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507492FE">
            <w:pPr>
              <w:pStyle w:val="15"/>
              <w:jc w:val="both"/>
              <w:rPr>
                <w:highlight w:val="none"/>
              </w:rPr>
            </w:pPr>
            <w:r>
              <w:rPr>
                <w:b/>
                <w:highlight w:val="none"/>
              </w:rPr>
              <w:t>12</w:t>
            </w:r>
          </w:p>
        </w:tc>
        <w:tc>
          <w:tcPr>
            <w:tcW w:w="1178" w:type="dxa"/>
          </w:tcPr>
          <w:p w14:paraId="6EEA474D">
            <w:pPr>
              <w:rPr>
                <w:highlight w:val="none"/>
              </w:rPr>
            </w:pPr>
          </w:p>
        </w:tc>
        <w:tc>
          <w:tcPr>
            <w:tcW w:w="6932" w:type="dxa"/>
          </w:tcPr>
          <w:p w14:paraId="5F78D648">
            <w:pPr>
              <w:pStyle w:val="15"/>
              <w:jc w:val="both"/>
              <w:rPr>
                <w:highlight w:val="none"/>
              </w:rPr>
            </w:pPr>
            <w:r>
              <w:rPr>
                <w:b/>
                <w:highlight w:val="none"/>
              </w:rPr>
              <w:t>其他事项：</w:t>
            </w:r>
          </w:p>
          <w:p w14:paraId="6725C11A">
            <w:pPr>
              <w:pStyle w:val="15"/>
              <w:jc w:val="both"/>
              <w:rPr>
                <w:rFonts w:hint="eastAsia" w:eastAsiaTheme="minorEastAsia"/>
                <w:highlight w:val="none"/>
                <w:lang w:eastAsia="zh-CN"/>
              </w:rPr>
            </w:pPr>
            <w:r>
              <w:rPr>
                <w:rFonts w:hint="eastAsia"/>
                <w:highlight w:val="none"/>
                <w:lang w:eastAsia="zh-CN"/>
              </w:rPr>
              <w:t>无。</w:t>
            </w:r>
          </w:p>
        </w:tc>
      </w:tr>
    </w:tbl>
    <w:p w14:paraId="7315D858">
      <w:pPr>
        <w:pStyle w:val="15"/>
        <w:jc w:val="both"/>
        <w:rPr>
          <w:highlight w:val="none"/>
        </w:rPr>
      </w:pPr>
    </w:p>
    <w:p w14:paraId="0610C655">
      <w:pPr>
        <w:pStyle w:val="15"/>
        <w:jc w:val="both"/>
        <w:rPr>
          <w:highlight w:val="none"/>
        </w:rPr>
      </w:pPr>
      <w:r>
        <w:rPr>
          <w:b/>
          <w:highlight w:val="none"/>
        </w:rPr>
        <w:t xml:space="preserve"> </w:t>
      </w:r>
    </w:p>
    <w:p w14:paraId="748ABE43">
      <w:pPr>
        <w:rPr>
          <w:b/>
          <w:sz w:val="36"/>
          <w:highlight w:val="none"/>
        </w:rPr>
      </w:pPr>
      <w:r>
        <w:rPr>
          <w:b/>
          <w:sz w:val="36"/>
          <w:highlight w:val="none"/>
        </w:rPr>
        <w:br w:type="page"/>
      </w:r>
    </w:p>
    <w:p w14:paraId="4D8D8AA0">
      <w:pPr>
        <w:pStyle w:val="15"/>
        <w:jc w:val="center"/>
        <w:outlineLvl w:val="1"/>
        <w:rPr>
          <w:highlight w:val="none"/>
        </w:rPr>
      </w:pPr>
      <w:r>
        <w:rPr>
          <w:b/>
          <w:sz w:val="36"/>
          <w:highlight w:val="none"/>
        </w:rPr>
        <w:t>第三章  协商须知正文</w:t>
      </w:r>
    </w:p>
    <w:p w14:paraId="5071C70E">
      <w:pPr>
        <w:pStyle w:val="15"/>
        <w:jc w:val="both"/>
        <w:outlineLvl w:val="2"/>
        <w:rPr>
          <w:highlight w:val="none"/>
        </w:rPr>
      </w:pPr>
      <w:r>
        <w:rPr>
          <w:b/>
          <w:sz w:val="28"/>
          <w:highlight w:val="none"/>
        </w:rPr>
        <w:t>一、总则</w:t>
      </w:r>
    </w:p>
    <w:p w14:paraId="5AC432BA">
      <w:pPr>
        <w:pStyle w:val="15"/>
        <w:jc w:val="both"/>
        <w:rPr>
          <w:highlight w:val="none"/>
        </w:rPr>
      </w:pPr>
      <w:r>
        <w:rPr>
          <w:b/>
          <w:highlight w:val="none"/>
        </w:rPr>
        <w:t>1、适用范围</w:t>
      </w:r>
    </w:p>
    <w:p w14:paraId="36FE3651">
      <w:pPr>
        <w:pStyle w:val="15"/>
        <w:ind w:firstLine="480"/>
        <w:jc w:val="both"/>
        <w:rPr>
          <w:highlight w:val="none"/>
        </w:rPr>
      </w:pPr>
      <w:r>
        <w:rPr>
          <w:b/>
          <w:highlight w:val="none"/>
        </w:rPr>
        <w:t>1.1适用于采购文件载明项目的采购活动（以下简称：“本次采购活动”）。</w:t>
      </w:r>
    </w:p>
    <w:p w14:paraId="6B9CECBC">
      <w:pPr>
        <w:pStyle w:val="15"/>
        <w:jc w:val="both"/>
        <w:rPr>
          <w:highlight w:val="none"/>
        </w:rPr>
      </w:pPr>
      <w:r>
        <w:rPr>
          <w:b/>
          <w:highlight w:val="none"/>
        </w:rPr>
        <w:t>2、定义</w:t>
      </w:r>
    </w:p>
    <w:p w14:paraId="48759D58">
      <w:pPr>
        <w:pStyle w:val="15"/>
        <w:ind w:firstLine="480"/>
        <w:jc w:val="both"/>
        <w:rPr>
          <w:highlight w:val="none"/>
        </w:rPr>
      </w:pPr>
      <w:r>
        <w:rPr>
          <w:b/>
          <w:highlight w:val="none"/>
        </w:rPr>
        <w:t>2.1“采购标的”指采购文件载明的需要采购的货物、服务或工程。</w:t>
      </w:r>
    </w:p>
    <w:p w14:paraId="71275D3B">
      <w:pPr>
        <w:pStyle w:val="15"/>
        <w:ind w:firstLine="480"/>
        <w:jc w:val="both"/>
        <w:rPr>
          <w:highlight w:val="none"/>
        </w:rPr>
      </w:pPr>
      <w:r>
        <w:rPr>
          <w:b/>
          <w:highlight w:val="none"/>
        </w:rPr>
        <w:t>2.2“采购方”指组织采购标的采购活动的采购人（自行采购的）或采购代理机构（代理采购的）。</w:t>
      </w:r>
    </w:p>
    <w:p w14:paraId="06FBD1B9">
      <w:pPr>
        <w:pStyle w:val="15"/>
        <w:ind w:firstLine="480"/>
        <w:jc w:val="both"/>
        <w:rPr>
          <w:highlight w:val="none"/>
        </w:rPr>
      </w:pPr>
      <w:r>
        <w:rPr>
          <w:b/>
          <w:highlight w:val="none"/>
        </w:rPr>
        <w:t>2.3“供应商”指采购文件第一章第4条被邀请参加本项目特定采购包协商的供应商。</w:t>
      </w:r>
    </w:p>
    <w:p w14:paraId="4A09FC24">
      <w:pPr>
        <w:pStyle w:val="15"/>
        <w:ind w:firstLine="480"/>
        <w:jc w:val="both"/>
        <w:rPr>
          <w:highlight w:val="none"/>
        </w:rPr>
      </w:pPr>
      <w:r>
        <w:rPr>
          <w:b/>
          <w:highlight w:val="none"/>
        </w:rPr>
        <w:t>2.4“单位负责人”指单位法定代表人（供应商为法人的）或法律、法规规定代表单位行使职权的主要负责人（供应商为其他组织的）。</w:t>
      </w:r>
    </w:p>
    <w:p w14:paraId="1E2B17C6">
      <w:pPr>
        <w:pStyle w:val="15"/>
        <w:ind w:firstLine="480"/>
        <w:jc w:val="both"/>
        <w:rPr>
          <w:highlight w:val="none"/>
        </w:rPr>
      </w:pPr>
      <w:r>
        <w:rPr>
          <w:b/>
          <w:highlight w:val="none"/>
        </w:rPr>
        <w:t>2.5“供应商代表”指供应商（供应商为法人或其他组织的）的单位负责人或由其授权的委托代理人，即单位负责人授权书中载明的接受授权方。</w:t>
      </w:r>
    </w:p>
    <w:p w14:paraId="5DE8FE72">
      <w:pPr>
        <w:pStyle w:val="15"/>
        <w:jc w:val="both"/>
        <w:outlineLvl w:val="2"/>
        <w:rPr>
          <w:highlight w:val="none"/>
        </w:rPr>
      </w:pPr>
      <w:r>
        <w:rPr>
          <w:b/>
          <w:sz w:val="28"/>
          <w:highlight w:val="none"/>
        </w:rPr>
        <w:t>二、供应商</w:t>
      </w:r>
    </w:p>
    <w:p w14:paraId="073DDA0C">
      <w:pPr>
        <w:pStyle w:val="15"/>
        <w:jc w:val="both"/>
        <w:rPr>
          <w:highlight w:val="none"/>
        </w:rPr>
      </w:pPr>
      <w:r>
        <w:rPr>
          <w:b/>
          <w:highlight w:val="none"/>
        </w:rPr>
        <w:t>3、合格供应商</w:t>
      </w:r>
    </w:p>
    <w:p w14:paraId="398B83C2">
      <w:pPr>
        <w:pStyle w:val="15"/>
        <w:ind w:firstLine="480"/>
        <w:jc w:val="both"/>
        <w:rPr>
          <w:highlight w:val="none"/>
        </w:rPr>
      </w:pPr>
      <w:r>
        <w:rPr>
          <w:b/>
          <w:highlight w:val="none"/>
        </w:rPr>
        <w:t>3.1一般规定</w:t>
      </w:r>
    </w:p>
    <w:p w14:paraId="4D5E8096">
      <w:pPr>
        <w:pStyle w:val="15"/>
        <w:ind w:firstLine="480"/>
        <w:jc w:val="both"/>
        <w:rPr>
          <w:highlight w:val="none"/>
        </w:rPr>
      </w:pPr>
      <w:r>
        <w:rPr>
          <w:b/>
          <w:highlight w:val="none"/>
        </w:rPr>
        <w:t>（1）供应商除了应遵守政府采购法及实施条例、政府采购非招标采购方式管理办法及财政部、福建省财政厅有关政府采购文件的规定外，还应遵守有关法律、法规和规章的强制性规定。</w:t>
      </w:r>
    </w:p>
    <w:p w14:paraId="16517053">
      <w:pPr>
        <w:pStyle w:val="15"/>
        <w:ind w:firstLine="480"/>
        <w:jc w:val="both"/>
        <w:rPr>
          <w:highlight w:val="none"/>
        </w:rPr>
      </w:pPr>
      <w:r>
        <w:rPr>
          <w:b/>
          <w:highlight w:val="none"/>
        </w:rPr>
        <w:t>（2）供应商的资格要求：详见采购文件第一章《协商邀请》。</w:t>
      </w:r>
    </w:p>
    <w:p w14:paraId="140474FF">
      <w:pPr>
        <w:pStyle w:val="15"/>
        <w:jc w:val="both"/>
        <w:rPr>
          <w:highlight w:val="none"/>
        </w:rPr>
      </w:pPr>
      <w:r>
        <w:rPr>
          <w:b/>
          <w:highlight w:val="none"/>
        </w:rPr>
        <w:t>4、参与协商的费用</w:t>
      </w:r>
    </w:p>
    <w:p w14:paraId="1D5EB97D">
      <w:pPr>
        <w:pStyle w:val="15"/>
        <w:ind w:firstLine="480"/>
        <w:jc w:val="both"/>
        <w:rPr>
          <w:highlight w:val="none"/>
        </w:rPr>
      </w:pPr>
      <w:r>
        <w:rPr>
          <w:b/>
          <w:highlight w:val="none"/>
        </w:rPr>
        <w:t>4.1 除采购文件另有规定外，无论协商的结果如何，供应商应自行承担其参加本项目协商所涉及的一切费用。</w:t>
      </w:r>
    </w:p>
    <w:p w14:paraId="1D07D2BA">
      <w:pPr>
        <w:pStyle w:val="15"/>
        <w:jc w:val="both"/>
        <w:outlineLvl w:val="2"/>
        <w:rPr>
          <w:highlight w:val="none"/>
        </w:rPr>
      </w:pPr>
      <w:r>
        <w:rPr>
          <w:b/>
          <w:sz w:val="28"/>
          <w:highlight w:val="none"/>
        </w:rPr>
        <w:t>三、采购文件</w:t>
      </w:r>
    </w:p>
    <w:p w14:paraId="6624A538">
      <w:pPr>
        <w:pStyle w:val="15"/>
        <w:jc w:val="both"/>
        <w:rPr>
          <w:highlight w:val="none"/>
        </w:rPr>
      </w:pPr>
      <w:r>
        <w:rPr>
          <w:b/>
          <w:highlight w:val="none"/>
        </w:rPr>
        <w:t>5、采购文件的组成</w:t>
      </w:r>
    </w:p>
    <w:p w14:paraId="6F27FB48">
      <w:pPr>
        <w:pStyle w:val="15"/>
        <w:ind w:firstLine="480"/>
        <w:jc w:val="both"/>
        <w:rPr>
          <w:highlight w:val="none"/>
        </w:rPr>
      </w:pPr>
      <w:r>
        <w:rPr>
          <w:b/>
          <w:highlight w:val="none"/>
        </w:rPr>
        <w:t>5.1采购文件用以阐明所需项目协商程序和合同主要条款，由下列部分及在采购过程中发出的澄清或者修改文件组成：</w:t>
      </w:r>
    </w:p>
    <w:p w14:paraId="729ED921">
      <w:pPr>
        <w:pStyle w:val="15"/>
        <w:ind w:firstLine="480"/>
        <w:jc w:val="both"/>
        <w:rPr>
          <w:highlight w:val="none"/>
        </w:rPr>
      </w:pPr>
      <w:r>
        <w:rPr>
          <w:b/>
          <w:highlight w:val="none"/>
        </w:rPr>
        <w:t>第一章 协商邀请</w:t>
      </w:r>
    </w:p>
    <w:p w14:paraId="3FE8F1F1">
      <w:pPr>
        <w:pStyle w:val="15"/>
        <w:ind w:firstLine="480"/>
        <w:jc w:val="both"/>
        <w:rPr>
          <w:highlight w:val="none"/>
        </w:rPr>
      </w:pPr>
      <w:r>
        <w:rPr>
          <w:b/>
          <w:highlight w:val="none"/>
        </w:rPr>
        <w:t>第二章 协商须知前附表</w:t>
      </w:r>
    </w:p>
    <w:p w14:paraId="40E494C2">
      <w:pPr>
        <w:pStyle w:val="15"/>
        <w:ind w:firstLine="480"/>
        <w:jc w:val="both"/>
        <w:rPr>
          <w:highlight w:val="none"/>
        </w:rPr>
      </w:pPr>
      <w:r>
        <w:rPr>
          <w:b/>
          <w:highlight w:val="none"/>
        </w:rPr>
        <w:t>第三章 协商须知正文</w:t>
      </w:r>
    </w:p>
    <w:p w14:paraId="3183D51F">
      <w:pPr>
        <w:pStyle w:val="15"/>
        <w:ind w:firstLine="480"/>
        <w:jc w:val="both"/>
        <w:rPr>
          <w:highlight w:val="none"/>
        </w:rPr>
      </w:pPr>
      <w:r>
        <w:rPr>
          <w:b/>
          <w:highlight w:val="none"/>
        </w:rPr>
        <w:t>第四章 协商内容及要求</w:t>
      </w:r>
    </w:p>
    <w:p w14:paraId="35AFFC09">
      <w:pPr>
        <w:pStyle w:val="15"/>
        <w:ind w:firstLine="480"/>
        <w:jc w:val="both"/>
        <w:rPr>
          <w:highlight w:val="none"/>
        </w:rPr>
      </w:pPr>
      <w:r>
        <w:rPr>
          <w:b/>
          <w:highlight w:val="none"/>
        </w:rPr>
        <w:t>第五章 采购合同</w:t>
      </w:r>
    </w:p>
    <w:p w14:paraId="4CC0561C">
      <w:pPr>
        <w:pStyle w:val="15"/>
        <w:ind w:firstLine="480"/>
        <w:jc w:val="both"/>
        <w:rPr>
          <w:highlight w:val="none"/>
        </w:rPr>
      </w:pPr>
      <w:r>
        <w:rPr>
          <w:b/>
          <w:highlight w:val="none"/>
        </w:rPr>
        <w:t>第六章 响应文件格式</w:t>
      </w:r>
    </w:p>
    <w:p w14:paraId="5517954F">
      <w:pPr>
        <w:pStyle w:val="15"/>
        <w:jc w:val="both"/>
        <w:rPr>
          <w:highlight w:val="none"/>
        </w:rPr>
      </w:pPr>
      <w:r>
        <w:rPr>
          <w:b/>
          <w:highlight w:val="none"/>
        </w:rPr>
        <w:t>5.2 采购文件的澄清或者修改</w:t>
      </w:r>
    </w:p>
    <w:p w14:paraId="16FDA2C5">
      <w:pPr>
        <w:pStyle w:val="15"/>
        <w:ind w:firstLine="480"/>
        <w:jc w:val="both"/>
        <w:rPr>
          <w:highlight w:val="none"/>
        </w:rPr>
      </w:pPr>
      <w:r>
        <w:rPr>
          <w:b/>
          <w:highlight w:val="none"/>
        </w:rPr>
        <w:t>5.2.1采购方对已发出的采购文件进行必要澄清或者修改的，将以更正公告通知供应商。澄清或者修改文件作为采购文件的组成部分。</w:t>
      </w:r>
    </w:p>
    <w:p w14:paraId="7D6337D4">
      <w:pPr>
        <w:pStyle w:val="15"/>
        <w:jc w:val="both"/>
        <w:outlineLvl w:val="2"/>
        <w:rPr>
          <w:highlight w:val="none"/>
        </w:rPr>
      </w:pPr>
      <w:r>
        <w:rPr>
          <w:b/>
          <w:sz w:val="28"/>
          <w:highlight w:val="none"/>
        </w:rPr>
        <w:t>四、响应文件的编写</w:t>
      </w:r>
    </w:p>
    <w:p w14:paraId="491793A4">
      <w:pPr>
        <w:pStyle w:val="15"/>
        <w:jc w:val="both"/>
        <w:rPr>
          <w:highlight w:val="none"/>
        </w:rPr>
      </w:pPr>
      <w:r>
        <w:rPr>
          <w:b/>
          <w:highlight w:val="none"/>
        </w:rPr>
        <w:t>6、响应文件</w:t>
      </w:r>
    </w:p>
    <w:p w14:paraId="46A41791">
      <w:pPr>
        <w:pStyle w:val="15"/>
        <w:ind w:firstLine="480"/>
        <w:jc w:val="both"/>
        <w:rPr>
          <w:highlight w:val="none"/>
        </w:rPr>
      </w:pPr>
      <w:r>
        <w:rPr>
          <w:b/>
          <w:highlight w:val="none"/>
        </w:rPr>
        <w:t>6.1响应文件的编制</w:t>
      </w:r>
    </w:p>
    <w:p w14:paraId="760A7A52">
      <w:pPr>
        <w:pStyle w:val="15"/>
        <w:ind w:firstLine="480"/>
        <w:jc w:val="both"/>
        <w:rPr>
          <w:highlight w:val="none"/>
        </w:rPr>
      </w:pPr>
      <w:r>
        <w:rPr>
          <w:b/>
          <w:highlight w:val="none"/>
        </w:rPr>
        <w:t>（1）供应商应仔细阅读采购文件的所有内容，按照采购文件的要求编制响应文件。</w:t>
      </w:r>
    </w:p>
    <w:p w14:paraId="2B50CEC0">
      <w:pPr>
        <w:pStyle w:val="15"/>
        <w:ind w:firstLine="480"/>
        <w:jc w:val="both"/>
        <w:rPr>
          <w:highlight w:val="none"/>
        </w:rPr>
      </w:pPr>
      <w:r>
        <w:rPr>
          <w:b/>
          <w:highlight w:val="none"/>
        </w:rPr>
        <w:t>（2）响应文件应按照本章第6.2条规定编制其组成部分。</w:t>
      </w:r>
    </w:p>
    <w:p w14:paraId="04E950FE">
      <w:pPr>
        <w:pStyle w:val="15"/>
        <w:ind w:firstLine="480"/>
        <w:jc w:val="both"/>
        <w:rPr>
          <w:highlight w:val="none"/>
        </w:rPr>
      </w:pPr>
      <w:r>
        <w:rPr>
          <w:b/>
          <w:highlight w:val="none"/>
        </w:rPr>
        <w:t>（3）响应文件应满足采购文件提出的实质性要求和条件，并保证其所提交的全部资料是不可割离且真实、有效、准确、完整和不具有任何误导性的，否则造成不利后果由供应商承担责任。</w:t>
      </w:r>
    </w:p>
    <w:p w14:paraId="595610BD">
      <w:pPr>
        <w:pStyle w:val="15"/>
        <w:ind w:firstLine="480"/>
        <w:jc w:val="both"/>
        <w:rPr>
          <w:highlight w:val="none"/>
        </w:rPr>
      </w:pPr>
      <w:r>
        <w:rPr>
          <w:b/>
          <w:highlight w:val="none"/>
        </w:rPr>
        <w:t>6.2 响应文件的组成：详见采购文件第六章《响应文件格式》。</w:t>
      </w:r>
    </w:p>
    <w:p w14:paraId="06BFFE84">
      <w:pPr>
        <w:pStyle w:val="15"/>
        <w:ind w:firstLine="480"/>
        <w:jc w:val="both"/>
        <w:rPr>
          <w:highlight w:val="none"/>
        </w:rPr>
      </w:pPr>
      <w:r>
        <w:rPr>
          <w:b/>
          <w:highlight w:val="none"/>
        </w:rPr>
        <w:t>6.3响应文件的语言</w:t>
      </w:r>
    </w:p>
    <w:p w14:paraId="37AAA0F9">
      <w:pPr>
        <w:pStyle w:val="15"/>
        <w:ind w:firstLine="480"/>
        <w:jc w:val="both"/>
        <w:rPr>
          <w:highlight w:val="none"/>
        </w:rPr>
      </w:pPr>
      <w:r>
        <w:rPr>
          <w:b/>
          <w:highlight w:val="none"/>
        </w:rPr>
        <w:t>（1）除采购文件另有规定外，响应文件应使用中文文本，若有不同文本，以中文文本为准。</w:t>
      </w:r>
    </w:p>
    <w:p w14:paraId="474DEDDD">
      <w:pPr>
        <w:pStyle w:val="15"/>
        <w:ind w:firstLine="480"/>
        <w:jc w:val="both"/>
        <w:rPr>
          <w:highlight w:val="none"/>
        </w:rPr>
      </w:pPr>
      <w:r>
        <w:rPr>
          <w:b/>
          <w:highlight w:val="none"/>
        </w:rP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5E837AA2">
      <w:pPr>
        <w:pStyle w:val="15"/>
        <w:ind w:firstLine="480"/>
        <w:jc w:val="both"/>
        <w:rPr>
          <w:highlight w:val="none"/>
        </w:rPr>
      </w:pPr>
      <w:r>
        <w:rPr>
          <w:b/>
          <w:highlight w:val="none"/>
        </w:rPr>
        <w:t>6.4响应文件的份数：详见采购文件第二章《协商须知前附表》</w:t>
      </w:r>
    </w:p>
    <w:p w14:paraId="517C8E30">
      <w:pPr>
        <w:pStyle w:val="15"/>
        <w:ind w:firstLine="480"/>
        <w:jc w:val="both"/>
        <w:rPr>
          <w:highlight w:val="none"/>
        </w:rPr>
      </w:pPr>
      <w:r>
        <w:rPr>
          <w:b/>
          <w:highlight w:val="none"/>
        </w:rPr>
        <w:t>6.5响应文件的格式</w:t>
      </w:r>
    </w:p>
    <w:p w14:paraId="75391BC0">
      <w:pPr>
        <w:pStyle w:val="15"/>
        <w:ind w:firstLine="480"/>
        <w:jc w:val="both"/>
        <w:rPr>
          <w:highlight w:val="none"/>
        </w:rPr>
      </w:pPr>
      <w:r>
        <w:rPr>
          <w:b/>
          <w:highlight w:val="none"/>
        </w:rPr>
        <w:t>（1）除采购文件另有规定外，响应文件应使用采购文件第六章规定的格式。</w:t>
      </w:r>
    </w:p>
    <w:p w14:paraId="5D36F701">
      <w:pPr>
        <w:pStyle w:val="15"/>
        <w:ind w:firstLine="480"/>
        <w:jc w:val="both"/>
        <w:rPr>
          <w:highlight w:val="none"/>
        </w:rPr>
      </w:pPr>
      <w:r>
        <w:rPr>
          <w:b/>
          <w:highlight w:val="none"/>
        </w:rPr>
        <w:t>（2）除采购文件另有规定外，响应文件的正本和全部副本均应使用不能擦去的墨料或墨水打印、书写或复印，其中副本可用正本的完整复印件，并与正本保持一致（若不一致，以正本为准）。</w:t>
      </w:r>
    </w:p>
    <w:p w14:paraId="22045CD7">
      <w:pPr>
        <w:pStyle w:val="15"/>
        <w:ind w:firstLine="480"/>
        <w:jc w:val="both"/>
        <w:rPr>
          <w:highlight w:val="none"/>
        </w:rPr>
      </w:pPr>
      <w:r>
        <w:rPr>
          <w:b/>
          <w:highlight w:val="none"/>
        </w:rPr>
        <w:t>（3）除采购文件另有规定外，响应文件应使用我国法定计量单位，未列明时默认为我国法定计量单位。</w:t>
      </w:r>
    </w:p>
    <w:p w14:paraId="74B5D569">
      <w:pPr>
        <w:pStyle w:val="15"/>
        <w:ind w:firstLine="480"/>
        <w:jc w:val="both"/>
        <w:rPr>
          <w:highlight w:val="none"/>
        </w:rPr>
      </w:pPr>
      <w:r>
        <w:rPr>
          <w:b/>
          <w:highlight w:val="none"/>
        </w:rPr>
        <w:t>（4）响应文件应由供应商代表签字并加盖供应商的单位公章。若供应商代表为单位负责人授权的委托代理人，应提供“单位负责人授权书”。</w:t>
      </w:r>
    </w:p>
    <w:p w14:paraId="23964260">
      <w:pPr>
        <w:pStyle w:val="15"/>
        <w:ind w:firstLine="480"/>
        <w:jc w:val="both"/>
        <w:rPr>
          <w:highlight w:val="none"/>
        </w:rPr>
      </w:pPr>
      <w:r>
        <w:rPr>
          <w:b/>
          <w:highlight w:val="none"/>
        </w:rPr>
        <w:t>（5）响应文件应没有涂改或行间插字，除非这些改动是根据采购方的指示进行的，或是为改正响应人造成的应修改的错误而进行的。若有前述改动，应按照下列规定之一对改动处进行处理：</w:t>
      </w:r>
    </w:p>
    <w:p w14:paraId="17199836">
      <w:pPr>
        <w:pStyle w:val="15"/>
        <w:ind w:firstLine="480"/>
        <w:jc w:val="both"/>
        <w:rPr>
          <w:highlight w:val="none"/>
        </w:rPr>
      </w:pPr>
      <w:r>
        <w:rPr>
          <w:b/>
          <w:highlight w:val="none"/>
        </w:rPr>
        <w:t>①供应商代表签字确认；</w:t>
      </w:r>
    </w:p>
    <w:p w14:paraId="08010909">
      <w:pPr>
        <w:pStyle w:val="15"/>
        <w:ind w:firstLine="480"/>
        <w:jc w:val="both"/>
        <w:rPr>
          <w:highlight w:val="none"/>
        </w:rPr>
      </w:pPr>
      <w:r>
        <w:rPr>
          <w:b/>
          <w:highlight w:val="none"/>
        </w:rPr>
        <w:t>②加盖供应商的单位公章或校正章。</w:t>
      </w:r>
    </w:p>
    <w:p w14:paraId="47B7B12D">
      <w:pPr>
        <w:pStyle w:val="15"/>
        <w:ind w:firstLine="480"/>
        <w:jc w:val="both"/>
        <w:rPr>
          <w:highlight w:val="none"/>
        </w:rPr>
      </w:pPr>
      <w:r>
        <w:rPr>
          <w:b/>
          <w:highlight w:val="none"/>
        </w:rPr>
        <w:t>6.6供应商报价</w:t>
      </w:r>
    </w:p>
    <w:p w14:paraId="56DF1860">
      <w:pPr>
        <w:pStyle w:val="15"/>
        <w:ind w:firstLine="480"/>
        <w:jc w:val="both"/>
        <w:rPr>
          <w:highlight w:val="none"/>
        </w:rPr>
      </w:pPr>
      <w:r>
        <w:rPr>
          <w:b/>
          <w:highlight w:val="none"/>
        </w:rPr>
        <w:t>（1）预算价作为最高限价。供应商报价超出最高限价者，按无效报价处理。</w:t>
      </w:r>
    </w:p>
    <w:p w14:paraId="64FB3C85">
      <w:pPr>
        <w:pStyle w:val="15"/>
        <w:ind w:firstLine="480"/>
        <w:jc w:val="both"/>
        <w:rPr>
          <w:highlight w:val="none"/>
        </w:rPr>
      </w:pPr>
      <w:r>
        <w:rPr>
          <w:b/>
          <w:highlight w:val="none"/>
        </w:rPr>
        <w:t>（2）除采购文件另有规定外，响应文件应使用人民币作为计量货币。</w:t>
      </w:r>
    </w:p>
    <w:p w14:paraId="701DCF50">
      <w:pPr>
        <w:pStyle w:val="15"/>
        <w:ind w:firstLine="480"/>
        <w:jc w:val="both"/>
        <w:rPr>
          <w:highlight w:val="none"/>
        </w:rPr>
      </w:pPr>
      <w:r>
        <w:rPr>
          <w:b/>
          <w:highlight w:val="none"/>
        </w:rPr>
        <w:t>（3）除采购文件另有规定外，响应文件不能出现任何选择性的报价，即每一个采购包和品目号的采购标的都只能有一个报价。任何选择性的报价将导致响应文件无效。</w:t>
      </w:r>
    </w:p>
    <w:p w14:paraId="61D31883">
      <w:pPr>
        <w:pStyle w:val="15"/>
        <w:ind w:firstLine="480"/>
        <w:jc w:val="both"/>
        <w:rPr>
          <w:highlight w:val="none"/>
        </w:rPr>
      </w:pPr>
      <w:r>
        <w:rPr>
          <w:b/>
          <w:highlight w:val="none"/>
        </w:rPr>
        <w:t>（4）供应商报价仅作为协商的参考，不得未经协商直接确定为成交价格。最后的成交价格应以协商后确定的价格为准。</w:t>
      </w:r>
    </w:p>
    <w:p w14:paraId="39A0B242">
      <w:pPr>
        <w:pStyle w:val="15"/>
        <w:ind w:firstLine="480"/>
        <w:jc w:val="both"/>
        <w:rPr>
          <w:highlight w:val="none"/>
        </w:rPr>
      </w:pPr>
      <w:r>
        <w:rPr>
          <w:b/>
          <w:highlight w:val="none"/>
        </w:rPr>
        <w:t>6.7响应有效期</w:t>
      </w:r>
    </w:p>
    <w:p w14:paraId="3A7692F9">
      <w:pPr>
        <w:pStyle w:val="15"/>
        <w:ind w:firstLine="480"/>
        <w:jc w:val="both"/>
        <w:rPr>
          <w:highlight w:val="none"/>
        </w:rPr>
      </w:pPr>
      <w:r>
        <w:rPr>
          <w:b/>
          <w:highlight w:val="none"/>
        </w:rPr>
        <w:t>（1）响应文件从采购文件第一章所规定的提交响应文件截止时间之后开始生效，在协商须知前附表第5项所规定的期限内保持有效。</w:t>
      </w:r>
    </w:p>
    <w:p w14:paraId="0929D296">
      <w:pPr>
        <w:pStyle w:val="15"/>
        <w:ind w:firstLine="480"/>
        <w:jc w:val="both"/>
        <w:rPr>
          <w:highlight w:val="none"/>
        </w:rPr>
      </w:pPr>
      <w:r>
        <w:rPr>
          <w:b/>
          <w:highlight w:val="none"/>
        </w:rPr>
        <w:t>（1）采购文件载明的响应有效期：详见采购文件第二章《协商须知前附表》。</w:t>
      </w:r>
    </w:p>
    <w:p w14:paraId="303F46A7">
      <w:pPr>
        <w:pStyle w:val="15"/>
        <w:ind w:firstLine="480"/>
        <w:jc w:val="both"/>
        <w:rPr>
          <w:highlight w:val="none"/>
        </w:rPr>
      </w:pPr>
      <w:r>
        <w:rPr>
          <w:b/>
          <w:highlight w:val="none"/>
        </w:rPr>
        <w:t>（2）响应文件承诺的响应有效期不得少于采购文件载明的响应有效期，否则响应文件无效。</w:t>
      </w:r>
    </w:p>
    <w:p w14:paraId="3A5F9EF8">
      <w:pPr>
        <w:pStyle w:val="15"/>
        <w:ind w:firstLine="480"/>
        <w:jc w:val="both"/>
        <w:rPr>
          <w:highlight w:val="none"/>
        </w:rPr>
      </w:pPr>
      <w:r>
        <w:rPr>
          <w:b/>
          <w:highlight w:val="none"/>
        </w:rPr>
        <w:t>（3）根据本次采购活动的需要，采购方可于响应有效期届满之前书面要求供应商延长响应有效期，供应商应在采购方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14:paraId="745151B4">
      <w:pPr>
        <w:pStyle w:val="15"/>
        <w:jc w:val="both"/>
        <w:rPr>
          <w:highlight w:val="none"/>
        </w:rPr>
      </w:pPr>
      <w:r>
        <w:rPr>
          <w:b/>
          <w:highlight w:val="none"/>
        </w:rPr>
        <w:t>6.8 协商保证金：</w:t>
      </w:r>
      <w:r>
        <w:rPr>
          <w:rFonts w:hint="eastAsia"/>
          <w:b/>
          <w:highlight w:val="none"/>
          <w:lang w:eastAsia="zh-CN"/>
        </w:rPr>
        <w:t>无</w:t>
      </w:r>
      <w:r>
        <w:rPr>
          <w:b/>
          <w:highlight w:val="none"/>
        </w:rPr>
        <w:t>。</w:t>
      </w:r>
    </w:p>
    <w:p w14:paraId="6D9DC703">
      <w:pPr>
        <w:pStyle w:val="15"/>
        <w:jc w:val="both"/>
        <w:outlineLvl w:val="2"/>
        <w:rPr>
          <w:highlight w:val="none"/>
        </w:rPr>
      </w:pPr>
      <w:r>
        <w:rPr>
          <w:b/>
          <w:sz w:val="28"/>
          <w:highlight w:val="none"/>
        </w:rPr>
        <w:t>五、响应文件的提交</w:t>
      </w:r>
    </w:p>
    <w:p w14:paraId="21E0D2AD">
      <w:pPr>
        <w:pStyle w:val="15"/>
        <w:jc w:val="both"/>
        <w:rPr>
          <w:highlight w:val="none"/>
        </w:rPr>
      </w:pPr>
      <w:r>
        <w:rPr>
          <w:b/>
          <w:highlight w:val="none"/>
        </w:rPr>
        <w:t>7. 响应文件的递交</w:t>
      </w:r>
    </w:p>
    <w:p w14:paraId="3904495A">
      <w:pPr>
        <w:pStyle w:val="15"/>
        <w:ind w:firstLine="480"/>
        <w:jc w:val="both"/>
        <w:rPr>
          <w:highlight w:val="none"/>
        </w:rPr>
      </w:pPr>
      <w:r>
        <w:rPr>
          <w:b/>
          <w:highlight w:val="none"/>
        </w:rPr>
        <w:t>7.1 供应商应按照协商第一章规定的时间和地点递交响应文件。</w:t>
      </w:r>
    </w:p>
    <w:p w14:paraId="72022CF7">
      <w:pPr>
        <w:pStyle w:val="15"/>
        <w:ind w:firstLine="480"/>
        <w:jc w:val="both"/>
        <w:rPr>
          <w:highlight w:val="none"/>
        </w:rPr>
      </w:pPr>
      <w:r>
        <w:rPr>
          <w:b/>
          <w:highlight w:val="none"/>
        </w:rPr>
        <w:t>7.2 响应文件须由单位负责人或单位负责人正式授权的供应商代表递交，并由其参与本项目协商。</w:t>
      </w:r>
    </w:p>
    <w:p w14:paraId="37C26FA6">
      <w:pPr>
        <w:pStyle w:val="15"/>
        <w:ind w:firstLine="480"/>
        <w:jc w:val="both"/>
        <w:rPr>
          <w:highlight w:val="none"/>
        </w:rPr>
      </w:pPr>
      <w:r>
        <w:rPr>
          <w:b/>
          <w:highlight w:val="none"/>
        </w:rPr>
        <w:t>7.3 供应商在提交响应文件截止时间前，可以对所提交的响应文件进行修改或者撤回，并书面通知采购方。修改的内容和撤回通知作为响应文件的组成部分。</w:t>
      </w:r>
    </w:p>
    <w:p w14:paraId="48BBC91C">
      <w:pPr>
        <w:pStyle w:val="15"/>
        <w:jc w:val="both"/>
        <w:rPr>
          <w:highlight w:val="none"/>
        </w:rPr>
      </w:pPr>
      <w:r>
        <w:rPr>
          <w:b/>
          <w:highlight w:val="none"/>
        </w:rPr>
        <w:t>8. 响应文件未在协商邀请规定的截止时间前送达的，采购方将根据项目情况依法另行组织采购或延长响应文件提交截止时间。</w:t>
      </w:r>
    </w:p>
    <w:p w14:paraId="4AACAB09">
      <w:pPr>
        <w:pStyle w:val="15"/>
        <w:jc w:val="both"/>
        <w:outlineLvl w:val="2"/>
        <w:rPr>
          <w:highlight w:val="none"/>
        </w:rPr>
      </w:pPr>
      <w:r>
        <w:rPr>
          <w:b/>
          <w:sz w:val="28"/>
          <w:highlight w:val="none"/>
        </w:rPr>
        <w:t>六、协商</w:t>
      </w:r>
    </w:p>
    <w:p w14:paraId="3E21FF6E">
      <w:pPr>
        <w:pStyle w:val="15"/>
        <w:jc w:val="both"/>
        <w:rPr>
          <w:highlight w:val="none"/>
        </w:rPr>
      </w:pPr>
      <w:r>
        <w:rPr>
          <w:b/>
          <w:highlight w:val="none"/>
        </w:rPr>
        <w:t>9. 协商小组</w:t>
      </w:r>
    </w:p>
    <w:p w14:paraId="53830E8A">
      <w:pPr>
        <w:pStyle w:val="15"/>
        <w:ind w:firstLine="480"/>
        <w:jc w:val="both"/>
        <w:rPr>
          <w:highlight w:val="none"/>
        </w:rPr>
      </w:pPr>
      <w:r>
        <w:rPr>
          <w:b/>
          <w:highlight w:val="none"/>
        </w:rPr>
        <w:t>9.1 采购方根据采购项目的特点依法组织具有相关经验的专业人员组建协商小组并在提交响应文件截止时间后的适当时间里对响应文件进行审查、评估、和供应商进行协商，并做出授予合同的建议。</w:t>
      </w:r>
    </w:p>
    <w:p w14:paraId="40FE6A4C">
      <w:pPr>
        <w:pStyle w:val="15"/>
        <w:ind w:firstLine="480"/>
        <w:jc w:val="left"/>
        <w:rPr>
          <w:highlight w:val="none"/>
        </w:rPr>
      </w:pPr>
      <w:r>
        <w:rPr>
          <w:b/>
          <w:highlight w:val="none"/>
        </w:rPr>
        <w:t>9.2协商小组</w:t>
      </w:r>
    </w:p>
    <w:p w14:paraId="174EF2C3">
      <w:pPr>
        <w:pStyle w:val="15"/>
        <w:ind w:firstLine="402" w:firstLineChars="200"/>
        <w:jc w:val="both"/>
        <w:rPr>
          <w:highlight w:val="none"/>
        </w:rPr>
      </w:pPr>
      <w:r>
        <w:rPr>
          <w:rFonts w:hint="eastAsia"/>
          <w:b/>
          <w:highlight w:val="none"/>
          <w:lang w:eastAsia="zh-CN"/>
        </w:rPr>
        <w:t>协商小组</w:t>
      </w:r>
      <w:r>
        <w:rPr>
          <w:b/>
          <w:highlight w:val="none"/>
        </w:rPr>
        <w:t>由</w:t>
      </w:r>
      <w:r>
        <w:rPr>
          <w:rFonts w:hint="eastAsia"/>
          <w:b/>
          <w:highlight w:val="none"/>
          <w:lang w:eastAsia="zh-CN"/>
        </w:rPr>
        <w:t>采购系统随机抽取</w:t>
      </w:r>
      <w:r>
        <w:rPr>
          <w:b/>
          <w:highlight w:val="none"/>
        </w:rPr>
        <w:t>3人组成。</w:t>
      </w:r>
    </w:p>
    <w:p w14:paraId="46E31B08">
      <w:pPr>
        <w:pStyle w:val="15"/>
        <w:jc w:val="both"/>
        <w:rPr>
          <w:highlight w:val="none"/>
        </w:rPr>
      </w:pPr>
      <w:r>
        <w:rPr>
          <w:b/>
          <w:highlight w:val="none"/>
        </w:rPr>
        <w:t>10. 文件审查</w:t>
      </w:r>
    </w:p>
    <w:p w14:paraId="35180C18">
      <w:pPr>
        <w:pStyle w:val="15"/>
        <w:ind w:firstLine="480"/>
        <w:jc w:val="left"/>
        <w:rPr>
          <w:highlight w:val="none"/>
        </w:rPr>
      </w:pPr>
      <w:r>
        <w:rPr>
          <w:b/>
          <w:highlight w:val="none"/>
        </w:rPr>
        <w:t>10.1 协商小组对响应文件进行审查。</w:t>
      </w:r>
    </w:p>
    <w:p w14:paraId="6371CB22">
      <w:pPr>
        <w:pStyle w:val="15"/>
        <w:jc w:val="both"/>
        <w:rPr>
          <w:highlight w:val="none"/>
        </w:rPr>
      </w:pPr>
      <w:r>
        <w:rPr>
          <w:b/>
          <w:highlight w:val="none"/>
        </w:rPr>
        <w:t>11. 协商并确定成交价格</w:t>
      </w:r>
    </w:p>
    <w:p w14:paraId="4795E926">
      <w:pPr>
        <w:pStyle w:val="15"/>
        <w:ind w:firstLine="480"/>
        <w:jc w:val="left"/>
        <w:rPr>
          <w:highlight w:val="none"/>
        </w:rPr>
      </w:pPr>
      <w:r>
        <w:rPr>
          <w:highlight w:val="none"/>
        </w:rPr>
        <w:t>11.1在项目预算范围内，协商小组与供应商就价格进行协商，在保证采购项目质量的前提下，确定合理的成交价格。</w:t>
      </w:r>
    </w:p>
    <w:p w14:paraId="1562C314">
      <w:pPr>
        <w:pStyle w:val="15"/>
        <w:jc w:val="both"/>
        <w:rPr>
          <w:highlight w:val="none"/>
        </w:rPr>
      </w:pPr>
      <w:r>
        <w:rPr>
          <w:b/>
          <w:highlight w:val="none"/>
        </w:rPr>
        <w:t>12. 协商终止</w:t>
      </w:r>
    </w:p>
    <w:p w14:paraId="602D415C">
      <w:pPr>
        <w:pStyle w:val="15"/>
        <w:ind w:firstLine="480"/>
        <w:jc w:val="left"/>
        <w:rPr>
          <w:highlight w:val="none"/>
        </w:rPr>
      </w:pPr>
      <w:r>
        <w:rPr>
          <w:b/>
          <w:highlight w:val="none"/>
        </w:rPr>
        <w:t>12.1 出现下列情形之一的，采购方应当终止采购活动，发布项目终止公告并说明原因，重新开展采购活动：</w:t>
      </w:r>
    </w:p>
    <w:p w14:paraId="5979BA5F">
      <w:pPr>
        <w:pStyle w:val="15"/>
        <w:ind w:firstLine="480"/>
        <w:jc w:val="left"/>
        <w:rPr>
          <w:highlight w:val="none"/>
        </w:rPr>
      </w:pPr>
      <w:r>
        <w:rPr>
          <w:b/>
          <w:highlight w:val="none"/>
        </w:rPr>
        <w:t>(1)因情况变化，不再符合规定的单一来源采购方式适用情形的；</w:t>
      </w:r>
    </w:p>
    <w:p w14:paraId="61C7AA1D">
      <w:pPr>
        <w:pStyle w:val="15"/>
        <w:ind w:firstLine="480"/>
        <w:jc w:val="left"/>
        <w:rPr>
          <w:highlight w:val="none"/>
        </w:rPr>
      </w:pPr>
      <w:r>
        <w:rPr>
          <w:b/>
          <w:highlight w:val="none"/>
        </w:rPr>
        <w:t>(2)出现影响采购公正的违法、违规行为的；</w:t>
      </w:r>
    </w:p>
    <w:p w14:paraId="701FC0D5">
      <w:pPr>
        <w:pStyle w:val="15"/>
        <w:ind w:firstLine="480"/>
        <w:jc w:val="left"/>
        <w:rPr>
          <w:highlight w:val="none"/>
        </w:rPr>
      </w:pPr>
      <w:r>
        <w:rPr>
          <w:b/>
          <w:highlight w:val="none"/>
        </w:rPr>
        <w:t>(3)报价超过采购预算。</w:t>
      </w:r>
    </w:p>
    <w:p w14:paraId="4D0FC112">
      <w:pPr>
        <w:pStyle w:val="15"/>
        <w:jc w:val="both"/>
        <w:rPr>
          <w:highlight w:val="none"/>
        </w:rPr>
      </w:pPr>
      <w:r>
        <w:rPr>
          <w:b/>
          <w:highlight w:val="none"/>
        </w:rPr>
        <w:t>13. 项目取消</w:t>
      </w:r>
    </w:p>
    <w:p w14:paraId="7418CF09">
      <w:pPr>
        <w:pStyle w:val="15"/>
        <w:ind w:firstLine="480"/>
        <w:jc w:val="left"/>
        <w:rPr>
          <w:highlight w:val="none"/>
        </w:rPr>
      </w:pPr>
      <w:r>
        <w:rPr>
          <w:b/>
          <w:highlight w:val="none"/>
        </w:rPr>
        <w:t>在采购活动中因重大变故，采购任务取消的，采购方应当终止采购活动，通知所有参加采购活动的供应商，并将项目实施情况和采购任务取消原因报送本级财政部门。</w:t>
      </w:r>
    </w:p>
    <w:p w14:paraId="544258E6">
      <w:pPr>
        <w:pStyle w:val="15"/>
        <w:jc w:val="both"/>
        <w:rPr>
          <w:highlight w:val="none"/>
        </w:rPr>
      </w:pPr>
      <w:r>
        <w:rPr>
          <w:b/>
          <w:highlight w:val="none"/>
        </w:rPr>
        <w:t>14. 保密要求</w:t>
      </w:r>
    </w:p>
    <w:p w14:paraId="3C77B5D2">
      <w:pPr>
        <w:pStyle w:val="15"/>
        <w:ind w:firstLine="480"/>
        <w:jc w:val="left"/>
        <w:rPr>
          <w:highlight w:val="none"/>
        </w:rPr>
      </w:pPr>
      <w:r>
        <w:rPr>
          <w:b/>
          <w:highlight w:val="none"/>
        </w:rPr>
        <w:t>14.1 协商小组以及与协商工作有关的人员对协商情况以及协商过程中获悉的国家秘密、商业秘密应当保密。</w:t>
      </w:r>
    </w:p>
    <w:p w14:paraId="2D278571">
      <w:pPr>
        <w:pStyle w:val="15"/>
        <w:jc w:val="both"/>
        <w:outlineLvl w:val="2"/>
        <w:rPr>
          <w:highlight w:val="none"/>
        </w:rPr>
      </w:pPr>
      <w:r>
        <w:rPr>
          <w:b/>
          <w:sz w:val="28"/>
          <w:highlight w:val="none"/>
        </w:rPr>
        <w:t>七、成交与采购合同</w:t>
      </w:r>
    </w:p>
    <w:p w14:paraId="35E782A6">
      <w:pPr>
        <w:pStyle w:val="15"/>
        <w:jc w:val="both"/>
        <w:rPr>
          <w:highlight w:val="none"/>
        </w:rPr>
      </w:pPr>
      <w:r>
        <w:rPr>
          <w:b/>
          <w:highlight w:val="none"/>
        </w:rPr>
        <w:t>15. 成交</w:t>
      </w:r>
    </w:p>
    <w:p w14:paraId="4DE8A7F0">
      <w:pPr>
        <w:pStyle w:val="15"/>
        <w:ind w:firstLine="480"/>
        <w:jc w:val="left"/>
        <w:rPr>
          <w:highlight w:val="none"/>
        </w:rPr>
      </w:pPr>
      <w:r>
        <w:rPr>
          <w:b/>
          <w:highlight w:val="none"/>
        </w:rPr>
        <w:t>15.1 成交结果信息的公布</w:t>
      </w:r>
    </w:p>
    <w:p w14:paraId="7B31C9AE">
      <w:pPr>
        <w:pStyle w:val="15"/>
        <w:ind w:firstLine="480"/>
        <w:jc w:val="left"/>
        <w:rPr>
          <w:highlight w:val="none"/>
        </w:rPr>
      </w:pPr>
      <w:r>
        <w:rPr>
          <w:b/>
          <w:highlight w:val="none"/>
        </w:rPr>
        <w:t>(1) 成交供应商确定后</w:t>
      </w:r>
      <w:r>
        <w:rPr>
          <w:rFonts w:hint="eastAsia"/>
          <w:b/>
          <w:highlight w:val="none"/>
          <w:lang w:val="en-US" w:eastAsia="zh-CN"/>
        </w:rPr>
        <w:t>2</w:t>
      </w:r>
      <w:r>
        <w:rPr>
          <w:b/>
          <w:highlight w:val="none"/>
        </w:rPr>
        <w:t>个工作日内，采购方应将成交结果信息（含采购文件）在采购文件载明的指定媒体上以结果公告的形式发布成交结果。</w:t>
      </w:r>
    </w:p>
    <w:p w14:paraId="18A84D35">
      <w:pPr>
        <w:pStyle w:val="15"/>
        <w:ind w:firstLine="480"/>
        <w:jc w:val="left"/>
        <w:rPr>
          <w:highlight w:val="none"/>
        </w:rPr>
      </w:pPr>
      <w:r>
        <w:rPr>
          <w:b/>
          <w:highlight w:val="none"/>
        </w:rPr>
        <w:t>(2) 结果公告的公告期限为１个工作日。</w:t>
      </w:r>
    </w:p>
    <w:p w14:paraId="6D99E0C3">
      <w:pPr>
        <w:pStyle w:val="15"/>
        <w:ind w:firstLine="480"/>
        <w:jc w:val="left"/>
        <w:rPr>
          <w:highlight w:val="none"/>
        </w:rPr>
      </w:pPr>
      <w:r>
        <w:rPr>
          <w:b/>
          <w:highlight w:val="none"/>
        </w:rPr>
        <w:t>15.2 成交通知</w:t>
      </w:r>
    </w:p>
    <w:p w14:paraId="3668391D">
      <w:pPr>
        <w:pStyle w:val="15"/>
        <w:ind w:firstLine="480"/>
        <w:jc w:val="left"/>
        <w:rPr>
          <w:highlight w:val="none"/>
        </w:rPr>
      </w:pPr>
      <w:r>
        <w:rPr>
          <w:b/>
          <w:highlight w:val="none"/>
        </w:rPr>
        <w:t>(1) 结果公告发布的同时，采购方将以书面形式向成交供应商发出成交通知书。</w:t>
      </w:r>
    </w:p>
    <w:p w14:paraId="28AD260E">
      <w:pPr>
        <w:pStyle w:val="15"/>
        <w:ind w:firstLine="480"/>
        <w:jc w:val="left"/>
        <w:rPr>
          <w:highlight w:val="none"/>
        </w:rPr>
      </w:pPr>
      <w:r>
        <w:rPr>
          <w:b/>
          <w:highlight w:val="none"/>
        </w:rPr>
        <w:t>(2) 成交通知书对采购人和成交供应商具有同等法律效力。成交通知书发出后，成交供应商放弃成交的，应依法承担法律责任。</w:t>
      </w:r>
    </w:p>
    <w:p w14:paraId="54964AEA">
      <w:pPr>
        <w:pStyle w:val="15"/>
        <w:ind w:firstLine="480"/>
        <w:jc w:val="left"/>
        <w:rPr>
          <w:highlight w:val="none"/>
        </w:rPr>
      </w:pPr>
      <w:r>
        <w:rPr>
          <w:b/>
          <w:highlight w:val="none"/>
        </w:rPr>
        <w:t>(3) 成交通知书是合同文件的组成部分。</w:t>
      </w:r>
    </w:p>
    <w:p w14:paraId="2A70026B">
      <w:pPr>
        <w:pStyle w:val="15"/>
        <w:jc w:val="both"/>
        <w:rPr>
          <w:highlight w:val="none"/>
        </w:rPr>
      </w:pPr>
      <w:r>
        <w:rPr>
          <w:b/>
          <w:highlight w:val="none"/>
        </w:rPr>
        <w:t>16. 采购合同</w:t>
      </w:r>
    </w:p>
    <w:p w14:paraId="2B1807D0">
      <w:pPr>
        <w:pStyle w:val="15"/>
        <w:ind w:firstLine="480"/>
        <w:jc w:val="left"/>
        <w:rPr>
          <w:highlight w:val="none"/>
        </w:rPr>
      </w:pPr>
      <w:r>
        <w:rPr>
          <w:b/>
          <w:highlight w:val="none"/>
        </w:rPr>
        <w:t>16.1履约保证金（若有）：成交供应商在收到成交通知书后，应按照采购文件的规定，向采购人提交履约保证金，具体见协商须知前附表。成交供应商没有按照本章规定提交履约保证金的，视为放弃成交资格。</w:t>
      </w:r>
    </w:p>
    <w:p w14:paraId="65A0E8F6">
      <w:pPr>
        <w:pStyle w:val="15"/>
        <w:ind w:firstLine="480"/>
        <w:jc w:val="left"/>
        <w:rPr>
          <w:highlight w:val="none"/>
        </w:rPr>
      </w:pPr>
      <w:r>
        <w:rPr>
          <w:b/>
          <w:highlight w:val="none"/>
        </w:rPr>
        <w:t>16.2 签订依据：成交通知书、采购文件、成交供应商的响应文件及其补充的响应文件等均为签订采购合同的依据。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742273E9">
      <w:pPr>
        <w:pStyle w:val="15"/>
        <w:ind w:firstLine="480"/>
        <w:jc w:val="left"/>
        <w:rPr>
          <w:highlight w:val="none"/>
        </w:rPr>
      </w:pPr>
      <w:r>
        <w:rPr>
          <w:b/>
          <w:highlight w:val="none"/>
        </w:rPr>
        <w:t>16.3 合同签订时限：详见须知前附表。</w:t>
      </w:r>
    </w:p>
    <w:p w14:paraId="422B538D">
      <w:pPr>
        <w:pStyle w:val="15"/>
        <w:ind w:firstLine="480"/>
        <w:jc w:val="left"/>
        <w:rPr>
          <w:highlight w:val="none"/>
        </w:rPr>
      </w:pPr>
      <w:r>
        <w:rPr>
          <w:b/>
          <w:highlight w:val="none"/>
        </w:rPr>
        <w:t>16.4 补充合同：采购合同履行中，采购人需追加与合同标的相同的货物、工程或者服务的，在不改变合同其他条款的前提下，可以与供应商协商签订补充合同，但所有补充合同的采购金额不得超过原合同采购金额的百分之十。</w:t>
      </w:r>
    </w:p>
    <w:p w14:paraId="6B773A7A">
      <w:pPr>
        <w:pStyle w:val="15"/>
        <w:ind w:firstLine="480"/>
        <w:jc w:val="left"/>
        <w:rPr>
          <w:highlight w:val="none"/>
        </w:rPr>
      </w:pPr>
      <w:r>
        <w:rPr>
          <w:b/>
          <w:highlight w:val="none"/>
        </w:rPr>
        <w:t>16.5合同公告：采购人自采购合同签订之日起2个工作日内，将本项目采购合同在财政部门指定的媒体上公告，但采购合同中涉及国家秘密、商业秘密的内容除外。</w:t>
      </w:r>
    </w:p>
    <w:p w14:paraId="35C979E0">
      <w:pPr>
        <w:pStyle w:val="15"/>
        <w:ind w:firstLine="480"/>
        <w:jc w:val="left"/>
        <w:rPr>
          <w:highlight w:val="none"/>
        </w:rPr>
      </w:pPr>
      <w:r>
        <w:rPr>
          <w:b/>
          <w:highlight w:val="none"/>
        </w:rPr>
        <w:t>16.6采购合同的履行、违约责任和解决争议的方法等适用民法典。</w:t>
      </w:r>
    </w:p>
    <w:p w14:paraId="16C17764">
      <w:pPr>
        <w:pStyle w:val="15"/>
        <w:ind w:firstLine="480"/>
        <w:jc w:val="left"/>
        <w:rPr>
          <w:highlight w:val="none"/>
        </w:rPr>
      </w:pPr>
      <w:r>
        <w:rPr>
          <w:b/>
          <w:highlight w:val="none"/>
        </w:rPr>
        <w:t>16.7成交供应商在采购合同履行过程中应遵守有关法律、法规和规章的强制性规定（即使前述强制性规定有可能在采购文件中未予列明）。</w:t>
      </w:r>
    </w:p>
    <w:p w14:paraId="666DD8B9">
      <w:pPr>
        <w:pStyle w:val="15"/>
        <w:ind w:firstLine="480"/>
        <w:jc w:val="left"/>
        <w:rPr>
          <w:highlight w:val="none"/>
        </w:rPr>
      </w:pPr>
      <w:r>
        <w:rPr>
          <w:b/>
          <w:highlight w:val="none"/>
        </w:rPr>
        <w:t>16.8成交供应商有下列情形之一的，应依法承担违约责任：</w:t>
      </w:r>
    </w:p>
    <w:p w14:paraId="6D2E0277">
      <w:pPr>
        <w:pStyle w:val="15"/>
        <w:ind w:firstLine="480"/>
        <w:jc w:val="left"/>
        <w:rPr>
          <w:highlight w:val="none"/>
        </w:rPr>
      </w:pPr>
      <w:r>
        <w:rPr>
          <w:b/>
          <w:highlight w:val="none"/>
        </w:rPr>
        <w:t>（1）在成交后，无正当理由不与采购人签订合同的；</w:t>
      </w:r>
    </w:p>
    <w:p w14:paraId="52C9C1F8">
      <w:pPr>
        <w:pStyle w:val="15"/>
        <w:ind w:firstLine="480"/>
        <w:jc w:val="left"/>
        <w:rPr>
          <w:highlight w:val="none"/>
        </w:rPr>
      </w:pPr>
      <w:r>
        <w:rPr>
          <w:b/>
          <w:highlight w:val="none"/>
        </w:rPr>
        <w:t>（2）在履行期限届满前，明确表示或以自己的行为表明不履行合同义务的；</w:t>
      </w:r>
    </w:p>
    <w:p w14:paraId="19683A50">
      <w:pPr>
        <w:pStyle w:val="15"/>
        <w:ind w:firstLine="480"/>
        <w:jc w:val="left"/>
        <w:rPr>
          <w:highlight w:val="none"/>
        </w:rPr>
      </w:pPr>
      <w:r>
        <w:rPr>
          <w:b/>
          <w:highlight w:val="none"/>
        </w:rPr>
        <w:t>（3）迟延履行合同，经催告后在合理期限内仍未履行；</w:t>
      </w:r>
    </w:p>
    <w:p w14:paraId="62FF073A">
      <w:pPr>
        <w:pStyle w:val="15"/>
        <w:ind w:firstLine="480"/>
        <w:jc w:val="left"/>
        <w:rPr>
          <w:highlight w:val="none"/>
        </w:rPr>
      </w:pPr>
      <w:r>
        <w:rPr>
          <w:b/>
          <w:highlight w:val="none"/>
        </w:rPr>
        <w:t>（4）有违反法律、法规相关规定的其他违约行为致使不能实现合同目的；</w:t>
      </w:r>
    </w:p>
    <w:p w14:paraId="4A70A00B">
      <w:pPr>
        <w:pStyle w:val="15"/>
        <w:ind w:firstLine="480"/>
        <w:jc w:val="left"/>
        <w:rPr>
          <w:highlight w:val="none"/>
        </w:rPr>
      </w:pPr>
      <w:r>
        <w:rPr>
          <w:b/>
          <w:highlight w:val="none"/>
        </w:rPr>
        <w:t>（5）将合同转包，或采取分包方式履行合同的。</w:t>
      </w:r>
    </w:p>
    <w:p w14:paraId="652DA62B">
      <w:pPr>
        <w:pStyle w:val="15"/>
        <w:jc w:val="both"/>
        <w:rPr>
          <w:highlight w:val="none"/>
        </w:rPr>
      </w:pPr>
      <w:r>
        <w:rPr>
          <w:b/>
          <w:highlight w:val="none"/>
        </w:rPr>
        <w:t>17. 供应商须保证采购人在使用该标的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p w14:paraId="70A26A05">
      <w:pPr>
        <w:pStyle w:val="15"/>
        <w:jc w:val="both"/>
        <w:rPr>
          <w:highlight w:val="none"/>
        </w:rPr>
      </w:pPr>
    </w:p>
    <w:p w14:paraId="4CE2DB9A">
      <w:pPr>
        <w:pStyle w:val="15"/>
        <w:jc w:val="both"/>
        <w:rPr>
          <w:highlight w:val="none"/>
        </w:rPr>
      </w:pPr>
      <w:r>
        <w:rPr>
          <w:b/>
          <w:highlight w:val="none"/>
        </w:rPr>
        <w:t xml:space="preserve"> </w:t>
      </w:r>
    </w:p>
    <w:p w14:paraId="5752A9D2">
      <w:pPr>
        <w:rPr>
          <w:b/>
          <w:sz w:val="36"/>
          <w:highlight w:val="none"/>
        </w:rPr>
      </w:pPr>
      <w:r>
        <w:rPr>
          <w:b/>
          <w:sz w:val="36"/>
          <w:highlight w:val="none"/>
        </w:rPr>
        <w:br w:type="page"/>
      </w:r>
    </w:p>
    <w:p w14:paraId="41862BA4">
      <w:pPr>
        <w:pStyle w:val="15"/>
        <w:jc w:val="center"/>
        <w:outlineLvl w:val="1"/>
        <w:rPr>
          <w:highlight w:val="none"/>
        </w:rPr>
      </w:pPr>
      <w:r>
        <w:rPr>
          <w:b/>
          <w:sz w:val="36"/>
          <w:highlight w:val="none"/>
        </w:rPr>
        <w:t>第四章 协商内容及要求</w:t>
      </w:r>
    </w:p>
    <w:p w14:paraId="23287EE5">
      <w:pPr>
        <w:pStyle w:val="15"/>
        <w:jc w:val="both"/>
        <w:outlineLvl w:val="2"/>
        <w:rPr>
          <w:b/>
          <w:sz w:val="28"/>
          <w:highlight w:val="none"/>
        </w:rPr>
      </w:pPr>
      <w:r>
        <w:rPr>
          <w:b/>
          <w:sz w:val="28"/>
          <w:highlight w:val="none"/>
        </w:rPr>
        <w:t>一、项目概况</w:t>
      </w:r>
    </w:p>
    <w:p w14:paraId="76570ADD">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ins w:id="30" w:author="曾" w:date="2025-08-05T17:50:53Z"/>
          <w:rFonts w:hint="eastAsia" w:ascii="宋体" w:hAnsi="宋体"/>
          <w:bCs/>
          <w:color w:val="000000"/>
          <w:sz w:val="28"/>
          <w:szCs w:val="28"/>
          <w:highlight w:val="none"/>
          <w:lang w:val="en-US" w:eastAsia="zh-CN"/>
        </w:rPr>
      </w:pPr>
      <w:ins w:id="31" w:author="曾" w:date="2025-08-05T17:06:45Z">
        <w:r>
          <w:rPr>
            <w:rFonts w:hint="eastAsia" w:ascii="宋体" w:hAnsi="宋体"/>
            <w:bCs/>
            <w:color w:val="000000"/>
            <w:sz w:val="28"/>
            <w:szCs w:val="28"/>
            <w:highlight w:val="none"/>
            <w:lang w:val="en-US" w:eastAsia="zh-CN"/>
          </w:rPr>
          <w:t>福建省财政厅发布闽财购便函〔2024〕6号调整全省政府采购远程异地评审适用标准；自2025年1月1日起，凡预算金额500万元以上（含）的服务项目，依法不进行公开招标的工程项目且金额达到400万元以上（含）的及达到公开招标限额的物业、安保、绿化项目，应当采用远程异地评审方式。泉州市本级远程异地场地承接市本级，鲤城，丰泽，洛江，南安等地的远程异地评审项目，因政策调整项目量的增加，现需要对远程异地评审运行服务进行二期扩容，以便承接更多的远程异地评审项目。</w:t>
        </w:r>
      </w:ins>
    </w:p>
    <w:p w14:paraId="2D3D7C75">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ins w:id="32" w:author="曾" w:date="2025-08-05T17:06:45Z"/>
          <w:rFonts w:hint="default" w:ascii="宋体" w:hAnsi="宋体"/>
          <w:bCs/>
          <w:color w:val="000000"/>
          <w:sz w:val="28"/>
          <w:szCs w:val="28"/>
          <w:highlight w:val="none"/>
          <w:lang w:val="en-US" w:eastAsia="zh-CN"/>
        </w:rPr>
      </w:pPr>
      <w:ins w:id="33" w:author="曾" w:date="2025-08-05T17:50:56Z">
        <w:r>
          <w:rPr>
            <w:rFonts w:hint="eastAsia" w:ascii="宋体" w:hAnsi="宋体"/>
            <w:bCs/>
            <w:color w:val="000000"/>
            <w:sz w:val="28"/>
            <w:szCs w:val="28"/>
            <w:highlight w:val="none"/>
            <w:lang w:val="en-US" w:eastAsia="zh-CN"/>
          </w:rPr>
          <w:t>本项目</w:t>
        </w:r>
      </w:ins>
      <w:ins w:id="34" w:author="曾" w:date="2025-08-05T17:51:02Z">
        <w:r>
          <w:rPr>
            <w:rFonts w:hint="eastAsia" w:ascii="宋体" w:hAnsi="宋体"/>
            <w:bCs/>
            <w:color w:val="000000"/>
            <w:sz w:val="28"/>
            <w:szCs w:val="28"/>
            <w:highlight w:val="none"/>
            <w:lang w:val="en-US" w:eastAsia="zh-CN"/>
          </w:rPr>
          <w:t>一采三年</w:t>
        </w:r>
      </w:ins>
      <w:ins w:id="35" w:author="曾" w:date="2025-08-05T17:51:04Z">
        <w:r>
          <w:rPr>
            <w:rFonts w:hint="eastAsia" w:ascii="宋体" w:hAnsi="宋体"/>
            <w:bCs/>
            <w:color w:val="000000"/>
            <w:sz w:val="28"/>
            <w:szCs w:val="28"/>
            <w:highlight w:val="none"/>
            <w:lang w:val="en-US" w:eastAsia="zh-CN"/>
          </w:rPr>
          <w:t>，</w:t>
        </w:r>
      </w:ins>
      <w:ins w:id="36" w:author="曾" w:date="2025-08-05T17:51:07Z">
        <w:r>
          <w:rPr>
            <w:rFonts w:hint="eastAsia" w:ascii="宋体" w:hAnsi="宋体"/>
            <w:bCs/>
            <w:color w:val="000000"/>
            <w:sz w:val="28"/>
            <w:szCs w:val="28"/>
            <w:highlight w:val="none"/>
            <w:lang w:val="en-US" w:eastAsia="zh-CN"/>
          </w:rPr>
          <w:t>合同</w:t>
        </w:r>
      </w:ins>
      <w:ins w:id="37" w:author="曾" w:date="2025-08-05T17:51:09Z">
        <w:r>
          <w:rPr>
            <w:rFonts w:hint="eastAsia" w:ascii="宋体" w:hAnsi="宋体"/>
            <w:bCs/>
            <w:color w:val="000000"/>
            <w:sz w:val="28"/>
            <w:szCs w:val="28"/>
            <w:highlight w:val="none"/>
            <w:lang w:val="en-US" w:eastAsia="zh-CN"/>
          </w:rPr>
          <w:t>一年一签，</w:t>
        </w:r>
      </w:ins>
      <w:ins w:id="38" w:author="曾" w:date="2025-08-05T17:51:12Z">
        <w:r>
          <w:rPr>
            <w:rFonts w:hint="eastAsia" w:ascii="宋体" w:hAnsi="宋体"/>
            <w:bCs/>
            <w:color w:val="000000"/>
            <w:sz w:val="28"/>
            <w:szCs w:val="28"/>
            <w:highlight w:val="none"/>
            <w:lang w:val="en-US" w:eastAsia="zh-CN"/>
          </w:rPr>
          <w:t>本次</w:t>
        </w:r>
      </w:ins>
      <w:ins w:id="39" w:author="曾" w:date="2025-08-05T17:51:14Z">
        <w:r>
          <w:rPr>
            <w:rFonts w:hint="eastAsia" w:ascii="宋体" w:hAnsi="宋体"/>
            <w:bCs/>
            <w:color w:val="000000"/>
            <w:sz w:val="28"/>
            <w:szCs w:val="28"/>
            <w:highlight w:val="none"/>
            <w:lang w:val="en-US" w:eastAsia="zh-CN"/>
          </w:rPr>
          <w:t>采购金额</w:t>
        </w:r>
      </w:ins>
      <w:ins w:id="40" w:author="曾" w:date="2025-08-05T17:51:15Z">
        <w:r>
          <w:rPr>
            <w:rFonts w:hint="eastAsia" w:ascii="宋体" w:hAnsi="宋体"/>
            <w:bCs/>
            <w:color w:val="000000"/>
            <w:sz w:val="28"/>
            <w:szCs w:val="28"/>
            <w:highlight w:val="none"/>
            <w:lang w:val="en-US" w:eastAsia="zh-CN"/>
          </w:rPr>
          <w:t>为</w:t>
        </w:r>
      </w:ins>
      <w:ins w:id="41" w:author="曾" w:date="2025-08-05T17:51:34Z">
        <w:r>
          <w:rPr>
            <w:rFonts w:hint="eastAsia" w:ascii="宋体" w:hAnsi="宋体"/>
            <w:bCs/>
            <w:color w:val="000000"/>
            <w:sz w:val="28"/>
            <w:szCs w:val="28"/>
            <w:highlight w:val="none"/>
            <w:lang w:val="en-US" w:eastAsia="zh-CN"/>
          </w:rPr>
          <w:t>单</w:t>
        </w:r>
      </w:ins>
      <w:ins w:id="42" w:author="曾" w:date="2025-08-05T17:51:36Z">
        <w:r>
          <w:rPr>
            <w:rFonts w:hint="eastAsia" w:ascii="宋体" w:hAnsi="宋体"/>
            <w:bCs/>
            <w:color w:val="000000"/>
            <w:sz w:val="28"/>
            <w:szCs w:val="28"/>
            <w:highlight w:val="none"/>
            <w:lang w:val="en-US" w:eastAsia="zh-CN"/>
          </w:rPr>
          <w:t>年</w:t>
        </w:r>
      </w:ins>
      <w:ins w:id="43" w:author="曾" w:date="2025-08-05T17:52:20Z">
        <w:r>
          <w:rPr>
            <w:rFonts w:hint="eastAsia" w:ascii="宋体" w:hAnsi="宋体"/>
            <w:bCs/>
            <w:color w:val="000000"/>
            <w:sz w:val="28"/>
            <w:szCs w:val="28"/>
            <w:highlight w:val="none"/>
            <w:lang w:val="en-US" w:eastAsia="zh-CN"/>
          </w:rPr>
          <w:t>度</w:t>
        </w:r>
      </w:ins>
      <w:ins w:id="44" w:author="曾" w:date="2025-08-05T17:52:23Z">
        <w:r>
          <w:rPr>
            <w:rFonts w:hint="eastAsia" w:ascii="宋体" w:hAnsi="宋体"/>
            <w:bCs/>
            <w:color w:val="000000"/>
            <w:sz w:val="28"/>
            <w:szCs w:val="28"/>
            <w:highlight w:val="none"/>
            <w:lang w:val="en-US" w:eastAsia="zh-CN"/>
          </w:rPr>
          <w:t>预算</w:t>
        </w:r>
      </w:ins>
      <w:ins w:id="45" w:author="曾" w:date="2025-08-05T17:52:24Z">
        <w:r>
          <w:rPr>
            <w:rFonts w:hint="eastAsia" w:ascii="宋体" w:hAnsi="宋体"/>
            <w:bCs/>
            <w:color w:val="000000"/>
            <w:sz w:val="28"/>
            <w:szCs w:val="28"/>
            <w:highlight w:val="none"/>
            <w:lang w:val="en-US" w:eastAsia="zh-CN"/>
          </w:rPr>
          <w:t>最高</w:t>
        </w:r>
      </w:ins>
      <w:ins w:id="46" w:author="曾" w:date="2025-08-05T17:52:26Z">
        <w:r>
          <w:rPr>
            <w:rFonts w:hint="eastAsia" w:ascii="宋体" w:hAnsi="宋体"/>
            <w:bCs/>
            <w:color w:val="000000"/>
            <w:sz w:val="28"/>
            <w:szCs w:val="28"/>
            <w:highlight w:val="none"/>
            <w:lang w:val="en-US" w:eastAsia="zh-CN"/>
          </w:rPr>
          <w:t>控制价</w:t>
        </w:r>
      </w:ins>
      <w:ins w:id="47" w:author="曾" w:date="2025-08-05T17:52:29Z">
        <w:r>
          <w:rPr>
            <w:rFonts w:hint="eastAsia" w:ascii="宋体" w:hAnsi="宋体"/>
            <w:bCs/>
            <w:color w:val="000000"/>
            <w:sz w:val="28"/>
            <w:szCs w:val="28"/>
            <w:highlight w:val="none"/>
            <w:lang w:val="en-US" w:eastAsia="zh-CN"/>
          </w:rPr>
          <w:t>24</w:t>
        </w:r>
      </w:ins>
      <w:ins w:id="48" w:author="曾" w:date="2025-08-05T17:52:31Z">
        <w:r>
          <w:rPr>
            <w:rFonts w:hint="eastAsia" w:ascii="宋体" w:hAnsi="宋体"/>
            <w:bCs/>
            <w:color w:val="000000"/>
            <w:sz w:val="28"/>
            <w:szCs w:val="28"/>
            <w:highlight w:val="none"/>
            <w:lang w:val="en-US" w:eastAsia="zh-CN"/>
          </w:rPr>
          <w:t>.5</w:t>
        </w:r>
      </w:ins>
      <w:ins w:id="49" w:author="曾" w:date="2025-08-05T17:52:34Z">
        <w:r>
          <w:rPr>
            <w:rFonts w:hint="eastAsia" w:ascii="宋体" w:hAnsi="宋体"/>
            <w:bCs/>
            <w:color w:val="000000"/>
            <w:sz w:val="28"/>
            <w:szCs w:val="28"/>
            <w:highlight w:val="none"/>
            <w:lang w:val="en-US" w:eastAsia="zh-CN"/>
          </w:rPr>
          <w:t>万元</w:t>
        </w:r>
      </w:ins>
      <w:ins w:id="50" w:author="曾" w:date="2025-08-05T17:52:35Z">
        <w:r>
          <w:rPr>
            <w:rFonts w:hint="eastAsia" w:ascii="宋体" w:hAnsi="宋体"/>
            <w:bCs/>
            <w:color w:val="000000"/>
            <w:sz w:val="28"/>
            <w:szCs w:val="28"/>
            <w:highlight w:val="none"/>
            <w:lang w:val="en-US" w:eastAsia="zh-CN"/>
          </w:rPr>
          <w:t>。</w:t>
        </w:r>
      </w:ins>
    </w:p>
    <w:p w14:paraId="5930A356">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del w:id="51" w:author="user" w:date="2025-08-05T16:33:14Z"/>
          <w:rFonts w:hint="eastAsia" w:ascii="宋体" w:hAnsi="宋体"/>
          <w:bCs/>
          <w:color w:val="000000"/>
          <w:sz w:val="28"/>
          <w:szCs w:val="28"/>
          <w:highlight w:val="none"/>
        </w:rPr>
      </w:pPr>
      <w:del w:id="52" w:author="user" w:date="2025-08-05T16:33:14Z">
        <w:r>
          <w:rPr>
            <w:rFonts w:hint="eastAsia" w:ascii="宋体" w:hAnsi="宋体"/>
            <w:bCs/>
            <w:color w:val="000000"/>
            <w:sz w:val="28"/>
            <w:szCs w:val="28"/>
            <w:highlight w:val="none"/>
          </w:rPr>
          <w:delText>福建省财政厅2021年启动系统二期项目建设，2021年12月完成项目初验，主要内容包含业务调整、应用集成、数据接口、安全防护的升级改造；新增远程异地开评标、专家实名认证及电子签名、政府采购电子保函、移动采购小助手、政府采购数据管理中心等子系统，分批上线运行。</w:delText>
        </w:r>
      </w:del>
    </w:p>
    <w:p w14:paraId="7E84FD6F">
      <w:pPr>
        <w:pStyle w:val="15"/>
        <w:ind w:firstLine="560" w:firstLineChars="200"/>
        <w:jc w:val="both"/>
        <w:outlineLvl w:val="2"/>
        <w:rPr>
          <w:highlight w:val="none"/>
        </w:rPr>
      </w:pPr>
      <w:del w:id="53" w:author="user" w:date="2025-08-05T16:33:14Z">
        <w:r>
          <w:rPr>
            <w:rFonts w:hint="eastAsia" w:ascii="宋体" w:hAnsi="宋体"/>
            <w:bCs/>
            <w:color w:val="000000"/>
            <w:sz w:val="28"/>
            <w:szCs w:val="28"/>
            <w:highlight w:val="none"/>
          </w:rPr>
          <w:delText>根据《</w:delText>
        </w:r>
      </w:del>
      <w:del w:id="54" w:author="user" w:date="2025-08-05T16:33:14Z">
        <w:r>
          <w:rPr>
            <w:rFonts w:hint="eastAsia" w:ascii="宋体" w:hAnsi="宋体"/>
            <w:bCs/>
            <w:color w:val="000000"/>
            <w:sz w:val="28"/>
            <w:szCs w:val="28"/>
            <w:highlight w:val="none"/>
            <w:lang w:val="en-US" w:eastAsia="zh-CN"/>
          </w:rPr>
          <w:delText>福建省财政厅关于印发福建省政府采购网上</w:delText>
        </w:r>
      </w:del>
      <w:del w:id="55" w:author="user" w:date="2025-08-05T16:33:14Z">
        <w:r>
          <w:rPr>
            <w:rFonts w:hint="default" w:ascii="宋体" w:hAnsi="宋体"/>
            <w:bCs/>
            <w:color w:val="000000"/>
            <w:sz w:val="28"/>
            <w:szCs w:val="28"/>
            <w:highlight w:val="none"/>
            <w:lang w:val="en-US" w:eastAsia="zh-CN"/>
          </w:rPr>
          <w:delText>公开信息系统实施运维服务指导标准的通知</w:delText>
        </w:r>
      </w:del>
      <w:del w:id="56" w:author="user" w:date="2025-08-05T16:33:14Z">
        <w:r>
          <w:rPr>
            <w:rFonts w:hint="eastAsia" w:ascii="宋体" w:hAnsi="宋体"/>
            <w:bCs/>
            <w:color w:val="000000"/>
            <w:sz w:val="28"/>
            <w:szCs w:val="28"/>
            <w:highlight w:val="none"/>
            <w:lang w:val="en-US" w:eastAsia="zh-CN"/>
          </w:rPr>
          <w:delText>》要求，为加强采购系统高效运转，保障采购系统安全运行，组织2025年度福建省政府采购网上公开信息系统泉州市本级运维服务采购。采购内容为市级运维服务，包含技术运维服务和数据处理服务</w:delText>
        </w:r>
      </w:del>
      <w:del w:id="57" w:author="曾" w:date="2025-08-05T17:06:50Z">
        <w:r>
          <w:rPr>
            <w:rFonts w:hint="eastAsia" w:ascii="宋体" w:hAnsi="宋体"/>
            <w:bCs/>
            <w:color w:val="000000"/>
            <w:sz w:val="28"/>
            <w:szCs w:val="28"/>
            <w:highlight w:val="none"/>
            <w:lang w:val="en-US" w:eastAsia="zh-CN"/>
          </w:rPr>
          <w:delText>。</w:delText>
        </w:r>
      </w:del>
    </w:p>
    <w:p w14:paraId="75A04E1A">
      <w:pPr>
        <w:pStyle w:val="15"/>
        <w:jc w:val="both"/>
        <w:outlineLvl w:val="2"/>
        <w:rPr>
          <w:highlight w:val="none"/>
        </w:rPr>
      </w:pPr>
      <w:r>
        <w:rPr>
          <w:b/>
          <w:sz w:val="28"/>
          <w:highlight w:val="none"/>
        </w:rPr>
        <w:t>二、技术要求</w:t>
      </w:r>
    </w:p>
    <w:p w14:paraId="6D84329B">
      <w:pPr>
        <w:pStyle w:val="2"/>
        <w:numPr>
          <w:ilvl w:val="0"/>
          <w:numId w:val="0"/>
        </w:numPr>
        <w:ind w:left="643" w:leftChars="0"/>
        <w:rPr>
          <w:rFonts w:ascii="宋体" w:hAnsi="宋体" w:eastAsia="宋体" w:cs="宋体"/>
          <w:sz w:val="28"/>
          <w:szCs w:val="28"/>
        </w:rPr>
      </w:pPr>
      <w:bookmarkStart w:id="0" w:name="_Toc12645"/>
      <w:bookmarkStart w:id="1" w:name="_Toc880"/>
      <w:bookmarkStart w:id="2" w:name="_Toc121239939"/>
      <w:bookmarkStart w:id="3" w:name="_Toc118383880"/>
      <w:bookmarkStart w:id="4" w:name="_Toc25470"/>
      <w:r>
        <w:rPr>
          <w:rFonts w:hint="eastAsia" w:ascii="宋体" w:hAnsi="宋体" w:eastAsia="宋体" w:cs="宋体"/>
          <w:sz w:val="28"/>
          <w:szCs w:val="28"/>
          <w:lang w:val="en-US" w:eastAsia="zh-CN"/>
        </w:rPr>
        <w:t>1.</w:t>
      </w:r>
      <w:r>
        <w:rPr>
          <w:rFonts w:hint="eastAsia" w:ascii="宋体" w:hAnsi="宋体" w:eastAsia="宋体" w:cs="宋体"/>
          <w:sz w:val="28"/>
          <w:szCs w:val="28"/>
        </w:rPr>
        <w:t>设备保障服务</w:t>
      </w:r>
      <w:bookmarkEnd w:id="0"/>
      <w:bookmarkEnd w:id="1"/>
      <w:bookmarkEnd w:id="2"/>
      <w:bookmarkEnd w:id="3"/>
    </w:p>
    <w:p w14:paraId="3E6F9407">
      <w:pPr>
        <w:pStyle w:val="3"/>
        <w:numPr>
          <w:ilvl w:val="0"/>
          <w:numId w:val="0"/>
        </w:numPr>
        <w:ind w:left="643" w:leftChars="0"/>
        <w:rPr>
          <w:rFonts w:ascii="宋体" w:hAnsi="宋体" w:eastAsia="宋体" w:cs="宋体"/>
        </w:rPr>
      </w:pPr>
      <w:bookmarkStart w:id="5" w:name="_Toc121239940"/>
      <w:r>
        <w:rPr>
          <w:rFonts w:hint="eastAsia" w:ascii="宋体" w:hAnsi="宋体" w:eastAsia="宋体" w:cs="宋体"/>
          <w:lang w:val="en-US" w:eastAsia="zh-CN"/>
        </w:rPr>
        <w:t>1.1</w:t>
      </w:r>
      <w:r>
        <w:rPr>
          <w:rFonts w:hint="eastAsia" w:ascii="宋体" w:hAnsi="宋体" w:eastAsia="宋体" w:cs="宋体"/>
        </w:rPr>
        <w:t>系统硬件设备及功能</w:t>
      </w:r>
      <w:bookmarkEnd w:id="5"/>
    </w:p>
    <w:p w14:paraId="3A308375">
      <w:pPr>
        <w:spacing w:after="190"/>
        <w:ind w:firstLine="618" w:firstLineChars="221"/>
        <w:rPr>
          <w:rFonts w:ascii="宋体" w:hAnsi="宋体"/>
          <w:sz w:val="28"/>
          <w:szCs w:val="28"/>
        </w:rPr>
      </w:pPr>
      <w:r>
        <w:rPr>
          <w:rFonts w:hint="eastAsia" w:ascii="宋体" w:hAnsi="宋体"/>
          <w:sz w:val="28"/>
          <w:szCs w:val="28"/>
        </w:rPr>
        <w:t>远程异地评审系统的“</w:t>
      </w:r>
      <w:r>
        <w:rPr>
          <w:rFonts w:hint="eastAsia" w:ascii="宋体" w:hAnsi="宋体"/>
          <w:sz w:val="28"/>
          <w:szCs w:val="28"/>
          <w:lang w:val="en-US" w:eastAsia="zh-CN"/>
        </w:rPr>
        <w:t>1</w:t>
      </w:r>
      <w:r>
        <w:rPr>
          <w:rFonts w:hint="eastAsia" w:ascii="宋体" w:hAnsi="宋体"/>
          <w:sz w:val="28"/>
          <w:szCs w:val="28"/>
        </w:rPr>
        <w:t>+X”模式的配套硬件，包括1套中央控制</w:t>
      </w:r>
      <w:r>
        <w:rPr>
          <w:rFonts w:hint="eastAsia" w:ascii="宋体" w:hAnsi="宋体"/>
          <w:sz w:val="28"/>
          <w:szCs w:val="28"/>
          <w:lang w:val="en-US" w:eastAsia="zh-CN"/>
        </w:rPr>
        <w:t>云</w:t>
      </w:r>
      <w:r>
        <w:rPr>
          <w:rFonts w:hint="eastAsia" w:ascii="宋体" w:hAnsi="宋体"/>
          <w:sz w:val="28"/>
          <w:szCs w:val="28"/>
        </w:rPr>
        <w:t>服务器、若干个一体评审单元等相关配套设备。这些作为提供运行管理的必须硬件设备，由运行管理服务方提供，统筹在运行管理费中。各硬件设备如下：</w:t>
      </w:r>
    </w:p>
    <w:p w14:paraId="0BE817A9">
      <w:pPr>
        <w:spacing w:after="190"/>
        <w:ind w:firstLine="618" w:firstLineChars="221"/>
        <w:rPr>
          <w:rFonts w:ascii="宋体" w:hAnsi="宋体"/>
          <w:sz w:val="28"/>
          <w:szCs w:val="28"/>
        </w:rPr>
      </w:pPr>
      <w:r>
        <w:rPr>
          <w:rFonts w:hint="eastAsia" w:ascii="宋体" w:hAnsi="宋体"/>
          <w:sz w:val="28"/>
          <w:szCs w:val="28"/>
        </w:rPr>
        <w:t>1、中央控制云服务器：</w:t>
      </w:r>
    </w:p>
    <w:p w14:paraId="6A444CDB">
      <w:pPr>
        <w:spacing w:after="190"/>
        <w:ind w:firstLine="480"/>
        <w:rPr>
          <w:rFonts w:ascii="宋体" w:hAnsi="宋体"/>
          <w:sz w:val="28"/>
          <w:szCs w:val="28"/>
        </w:rPr>
      </w:pPr>
      <w:r>
        <w:rPr>
          <w:rFonts w:hint="eastAsia" w:ascii="宋体" w:hAnsi="宋体"/>
          <w:sz w:val="28"/>
          <w:szCs w:val="28"/>
        </w:rPr>
        <w:t>1）音视频采集，包括采集监控摄像头、专家评审电脑屏幕、评审电脑外接的摄像头所产生的音视频流；</w:t>
      </w:r>
    </w:p>
    <w:p w14:paraId="26091D04">
      <w:pPr>
        <w:spacing w:after="190"/>
        <w:ind w:firstLine="560" w:firstLineChars="200"/>
        <w:rPr>
          <w:rFonts w:ascii="宋体" w:hAnsi="宋体"/>
          <w:sz w:val="28"/>
          <w:szCs w:val="28"/>
        </w:rPr>
      </w:pPr>
      <w:r>
        <w:rPr>
          <w:rFonts w:hint="eastAsia" w:ascii="宋体" w:hAnsi="宋体"/>
          <w:sz w:val="28"/>
          <w:szCs w:val="28"/>
        </w:rPr>
        <w:t>2）流媒体处理，对采集的音视频流进行转码、混流、推流等；</w:t>
      </w:r>
    </w:p>
    <w:p w14:paraId="034ABCB6">
      <w:pPr>
        <w:spacing w:after="190"/>
        <w:ind w:firstLine="560" w:firstLineChars="200"/>
        <w:rPr>
          <w:rFonts w:ascii="宋体" w:hAnsi="宋体"/>
          <w:sz w:val="28"/>
          <w:szCs w:val="28"/>
        </w:rPr>
      </w:pPr>
      <w:r>
        <w:rPr>
          <w:rFonts w:hint="eastAsia" w:ascii="宋体" w:hAnsi="宋体"/>
          <w:sz w:val="28"/>
          <w:szCs w:val="28"/>
        </w:rPr>
        <w:t>3）配套硬件管理，作为智慧评审点的“大脑”，打通评审点内部的门禁、引导牌等硬件；</w:t>
      </w:r>
    </w:p>
    <w:p w14:paraId="3799B589">
      <w:pPr>
        <w:spacing w:after="190"/>
        <w:ind w:firstLine="560" w:firstLineChars="200"/>
        <w:rPr>
          <w:rFonts w:ascii="宋体" w:hAnsi="宋体"/>
          <w:sz w:val="28"/>
          <w:szCs w:val="28"/>
        </w:rPr>
      </w:pPr>
      <w:r>
        <w:rPr>
          <w:rFonts w:hint="eastAsia" w:ascii="宋体" w:hAnsi="宋体"/>
          <w:sz w:val="28"/>
          <w:szCs w:val="28"/>
        </w:rPr>
        <w:t>4）音视频归档文件的临时存储，对采集的音视频文件做一个暂存，方便本地快速调取。</w:t>
      </w:r>
    </w:p>
    <w:p w14:paraId="38C5B999">
      <w:pPr>
        <w:spacing w:after="190"/>
        <w:ind w:firstLine="480"/>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、一体评审单元：所需功能高度集成在一体化评审单元内，内置新风系统，独立舒适的办公环境，任何场地只须通电通网即可快速完成部署，评审系统配备以下内容：</w:t>
      </w:r>
    </w:p>
    <w:p w14:paraId="196C913A">
      <w:pPr>
        <w:spacing w:after="190"/>
        <w:ind w:firstLine="480"/>
        <w:rPr>
          <w:rFonts w:ascii="宋体" w:hAnsi="宋体"/>
          <w:sz w:val="28"/>
          <w:szCs w:val="28"/>
        </w:rPr>
      </w:pPr>
      <w:r>
        <w:rPr>
          <w:rFonts w:hint="eastAsia" w:ascii="宋体" w:hAnsi="宋体"/>
          <w:sz w:val="28"/>
          <w:szCs w:val="28"/>
        </w:rPr>
        <w:t>1）双屏幕可视化云桌面，满足在线评审和视频会议的需要，屏幕≥24寸，方便专家在视频会议沟通的同时完成远程异地评审工作 ；</w:t>
      </w:r>
    </w:p>
    <w:p w14:paraId="0712D3AF">
      <w:pPr>
        <w:spacing w:after="190"/>
        <w:ind w:firstLine="480"/>
        <w:rPr>
          <w:rFonts w:ascii="宋体" w:hAnsi="宋体"/>
          <w:sz w:val="28"/>
          <w:szCs w:val="28"/>
        </w:rPr>
      </w:pPr>
      <w:r>
        <w:rPr>
          <w:rFonts w:hint="eastAsia" w:ascii="宋体" w:hAnsi="宋体"/>
          <w:sz w:val="28"/>
          <w:szCs w:val="28"/>
        </w:rPr>
        <w:t>2）机位人脸识别设备，用于专家人脸识别认证及监控评审行为；</w:t>
      </w:r>
    </w:p>
    <w:p w14:paraId="6E146E9A">
      <w:pPr>
        <w:spacing w:after="190"/>
        <w:ind w:firstLine="480"/>
        <w:rPr>
          <w:rFonts w:ascii="宋体" w:hAnsi="宋体"/>
          <w:sz w:val="28"/>
          <w:szCs w:val="28"/>
        </w:rPr>
      </w:pPr>
      <w:r>
        <w:rPr>
          <w:rFonts w:hint="eastAsia" w:ascii="宋体" w:hAnsi="宋体"/>
          <w:sz w:val="28"/>
          <w:szCs w:val="28"/>
        </w:rPr>
        <w:t>3）</w:t>
      </w:r>
      <w:r>
        <w:rPr>
          <w:rFonts w:hint="eastAsia" w:ascii="宋体" w:hAnsi="宋体"/>
          <w:sz w:val="28"/>
          <w:szCs w:val="28"/>
          <w:lang w:val="en-US" w:eastAsia="zh-CN"/>
        </w:rPr>
        <w:t>单人</w:t>
      </w:r>
      <w:r>
        <w:rPr>
          <w:rFonts w:hint="eastAsia" w:ascii="宋体" w:hAnsi="宋体"/>
          <w:sz w:val="28"/>
          <w:szCs w:val="28"/>
        </w:rPr>
        <w:t>评审终端；</w:t>
      </w:r>
    </w:p>
    <w:p w14:paraId="3F29F764">
      <w:pPr>
        <w:spacing w:after="190"/>
        <w:ind w:firstLine="480"/>
        <w:rPr>
          <w:rFonts w:ascii="宋体" w:hAnsi="宋体"/>
          <w:sz w:val="28"/>
          <w:szCs w:val="28"/>
        </w:rPr>
      </w:pPr>
      <w:r>
        <w:rPr>
          <w:rFonts w:hint="eastAsia" w:ascii="宋体" w:hAnsi="宋体"/>
          <w:sz w:val="28"/>
          <w:szCs w:val="28"/>
        </w:rPr>
        <w:t>4）语音对话设备、语音呼叫系统</w:t>
      </w:r>
    </w:p>
    <w:p w14:paraId="6027716B">
      <w:pPr>
        <w:ind w:firstLine="480"/>
        <w:rPr>
          <w:rFonts w:ascii="宋体" w:hAnsi="宋体" w:cs="宋体"/>
          <w:sz w:val="28"/>
          <w:szCs w:val="28"/>
        </w:rPr>
      </w:pPr>
      <w:r>
        <w:rPr>
          <w:rFonts w:hint="eastAsia" w:ascii="宋体" w:hAnsi="宋体"/>
          <w:sz w:val="28"/>
          <w:szCs w:val="28"/>
        </w:rPr>
        <w:t>5、场地其他硬件接入：对于评审点其他硬件设备，电子储物柜、电子引导牌等。</w:t>
      </w:r>
    </w:p>
    <w:p w14:paraId="0E8D0D6A">
      <w:pPr>
        <w:pStyle w:val="16"/>
        <w:spacing w:after="190"/>
        <w:ind w:firstLine="560"/>
        <w:rPr>
          <w:rFonts w:hint="eastAsia" w:ascii="宋体" w:hAnsi="宋体" w:eastAsia="宋体" w:cs="宋体"/>
          <w:sz w:val="28"/>
          <w:szCs w:val="28"/>
          <w:lang w:eastAsia="zh-CN"/>
        </w:rPr>
      </w:pPr>
      <w:r>
        <w:rPr>
          <w:rFonts w:hint="eastAsia" w:ascii="宋体" w:hAnsi="宋体" w:cs="宋体"/>
          <w:sz w:val="28"/>
          <w:szCs w:val="28"/>
        </w:rPr>
        <w:t>远程异地评审系统主要设备效果图</w:t>
      </w:r>
    </w:p>
    <w:p w14:paraId="1C0B92E5">
      <w:pPr>
        <w:pStyle w:val="9"/>
        <w:rPr>
          <w:rFonts w:hint="eastAsia"/>
          <w:lang w:eastAsia="zh-CN"/>
        </w:rPr>
      </w:pPr>
      <w:r>
        <w:rPr>
          <w:rFonts w:hint="eastAsia"/>
          <w:lang w:eastAsia="zh-CN"/>
        </w:rPr>
        <w:drawing>
          <wp:inline distT="0" distB="0" distL="114300" distR="114300">
            <wp:extent cx="5264785" cy="3947160"/>
            <wp:effectExtent l="0" t="0" r="12065" b="15240"/>
            <wp:docPr id="2" name="图片 2" descr="5d479ed3daeb29b381d919ff92c84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d479ed3daeb29b381d919ff92c84e5"/>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p w14:paraId="67CA8896">
      <w:pPr>
        <w:pStyle w:val="8"/>
        <w:spacing w:after="190"/>
        <w:ind w:firstLine="490" w:firstLineChars="175"/>
        <w:rPr>
          <w:rFonts w:ascii="宋体" w:hAnsi="宋体" w:cs="宋体"/>
          <w:sz w:val="28"/>
          <w:szCs w:val="28"/>
        </w:rPr>
      </w:pPr>
      <w:r>
        <w:rPr>
          <w:rFonts w:hint="eastAsia" w:ascii="宋体" w:hAnsi="宋体" w:cs="宋体"/>
          <w:sz w:val="28"/>
          <w:szCs w:val="28"/>
        </w:rPr>
        <w:t>运行服务方应结合远程异地评审系统的服务要求，对产品功能外观优化，提供迭代升级的产品服务。</w:t>
      </w:r>
    </w:p>
    <w:p w14:paraId="5508D367">
      <w:pPr>
        <w:pStyle w:val="3"/>
        <w:numPr>
          <w:ilvl w:val="0"/>
          <w:numId w:val="0"/>
        </w:numPr>
        <w:rPr>
          <w:rFonts w:ascii="宋体" w:hAnsi="宋体" w:eastAsia="宋体" w:cs="宋体"/>
        </w:rPr>
      </w:pPr>
      <w:bookmarkStart w:id="6" w:name="_Toc121239943"/>
      <w:r>
        <w:rPr>
          <w:rFonts w:hint="eastAsia" w:ascii="宋体" w:hAnsi="宋体" w:eastAsia="宋体" w:cs="宋体"/>
          <w:lang w:val="en-US" w:eastAsia="zh-CN"/>
        </w:rPr>
        <w:t>2.</w:t>
      </w:r>
      <w:r>
        <w:rPr>
          <w:rFonts w:hint="eastAsia" w:ascii="宋体" w:hAnsi="宋体" w:eastAsia="宋体" w:cs="宋体"/>
        </w:rPr>
        <w:t>应用软件服务</w:t>
      </w:r>
      <w:bookmarkEnd w:id="6"/>
    </w:p>
    <w:p w14:paraId="3CDC3F37">
      <w:pPr>
        <w:pStyle w:val="7"/>
        <w:spacing w:after="190"/>
        <w:ind w:firstLine="560"/>
        <w:rPr>
          <w:rFonts w:ascii="宋体" w:hAnsi="宋体"/>
          <w:sz w:val="28"/>
          <w:szCs w:val="28"/>
        </w:rPr>
      </w:pPr>
      <w:r>
        <w:rPr>
          <w:rFonts w:hint="eastAsia" w:ascii="宋体" w:hAnsi="宋体"/>
          <w:sz w:val="28"/>
          <w:szCs w:val="28"/>
          <w:lang w:val="en-US" w:eastAsia="zh-CN"/>
        </w:rPr>
        <w:t>2.1</w:t>
      </w:r>
      <w:r>
        <w:rPr>
          <w:rFonts w:hint="eastAsia" w:ascii="宋体" w:hAnsi="宋体"/>
          <w:sz w:val="28"/>
          <w:szCs w:val="28"/>
        </w:rPr>
        <w:t>远程异地多维调度系统应用服务</w:t>
      </w:r>
    </w:p>
    <w:p w14:paraId="19918560">
      <w:pPr>
        <w:spacing w:after="190"/>
        <w:ind w:firstLine="560"/>
        <w:rPr>
          <w:rFonts w:ascii="宋体" w:hAnsi="宋体"/>
          <w:sz w:val="28"/>
          <w:szCs w:val="28"/>
        </w:rPr>
      </w:pPr>
      <w:r>
        <w:rPr>
          <w:rFonts w:hint="eastAsia" w:ascii="宋体" w:hAnsi="宋体" w:cstheme="majorEastAsia"/>
          <w:sz w:val="28"/>
          <w:szCs w:val="28"/>
        </w:rPr>
        <w:t>远程异地多维调度系统应用服务</w:t>
      </w:r>
      <w:r>
        <w:rPr>
          <w:rFonts w:hint="eastAsia" w:ascii="宋体" w:hAnsi="宋体"/>
          <w:sz w:val="28"/>
          <w:szCs w:val="28"/>
        </w:rPr>
        <w:t>，功能包括远程异地评审服务中心、专家资源共享和调度中心、场地资源共享和调度中心、政府采购业务对接中心、视频会议调度中心、见证监督调度中心、归档及存储调度中心以及统一用户及授权中心。</w:t>
      </w:r>
    </w:p>
    <w:p w14:paraId="22399AFD">
      <w:pPr>
        <w:spacing w:after="190"/>
        <w:ind w:left="0" w:leftChars="0" w:firstLine="560" w:firstLineChars="200"/>
        <w:rPr>
          <w:rFonts w:hint="eastAsia" w:ascii="宋体" w:hAnsi="宋体"/>
          <w:sz w:val="28"/>
          <w:szCs w:val="28"/>
        </w:rPr>
      </w:pPr>
      <w:r>
        <w:rPr>
          <w:rFonts w:hint="eastAsia" w:ascii="宋体" w:hAnsi="宋体"/>
          <w:sz w:val="28"/>
          <w:szCs w:val="28"/>
        </w:rPr>
        <w:t>具体参数如下：</w:t>
      </w:r>
    </w:p>
    <w:p w14:paraId="56ED5CAC">
      <w:pPr>
        <w:spacing w:after="190"/>
        <w:ind w:firstLine="560" w:firstLineChars="200"/>
        <w:rPr>
          <w:rFonts w:ascii="宋体" w:hAnsi="宋体"/>
          <w:sz w:val="28"/>
          <w:szCs w:val="28"/>
        </w:rPr>
      </w:pPr>
      <w:r>
        <w:rPr>
          <w:rFonts w:hint="eastAsia" w:ascii="宋体" w:hAnsi="宋体"/>
          <w:sz w:val="28"/>
          <w:szCs w:val="28"/>
        </w:rPr>
        <w:t>（1）远程异地评审系统服务中心：提供远程异地评审各项功能性服务；</w:t>
      </w:r>
    </w:p>
    <w:p w14:paraId="73784D80">
      <w:pPr>
        <w:spacing w:after="190"/>
        <w:ind w:firstLine="560"/>
        <w:rPr>
          <w:rFonts w:ascii="宋体" w:hAnsi="宋体"/>
          <w:sz w:val="28"/>
          <w:szCs w:val="28"/>
        </w:rPr>
      </w:pPr>
      <w:r>
        <w:rPr>
          <w:rFonts w:hint="eastAsia" w:ascii="宋体" w:hAnsi="宋体"/>
          <w:sz w:val="28"/>
          <w:szCs w:val="28"/>
        </w:rPr>
        <w:t>（2）专家资源共享和调度中心：完成异地专家抽取、通知、认证等调度工作；</w:t>
      </w:r>
    </w:p>
    <w:p w14:paraId="44A7094E">
      <w:pPr>
        <w:spacing w:after="190"/>
        <w:ind w:firstLine="560"/>
        <w:rPr>
          <w:rFonts w:ascii="宋体" w:hAns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）场地资源共享和调度中心：对全省远程异地评审场地进行接入、展示、预约、使用等调度工作；</w:t>
      </w:r>
    </w:p>
    <w:p w14:paraId="438A3143">
      <w:pPr>
        <w:spacing w:after="190"/>
        <w:ind w:firstLine="560"/>
        <w:rPr>
          <w:rFonts w:ascii="宋体" w:hAnsi="宋体"/>
          <w:sz w:val="28"/>
          <w:szCs w:val="28"/>
        </w:rPr>
      </w:pPr>
      <w:r>
        <w:rPr>
          <w:rFonts w:hint="eastAsia" w:ascii="宋体" w:hAnsi="宋体"/>
          <w:sz w:val="28"/>
          <w:szCs w:val="28"/>
        </w:rPr>
        <w:t>（4）政府采购业务对接中心：对接政府采购交易系统，以政府采购项目为核心组织评审活动，支持七种政府采购方式；</w:t>
      </w:r>
    </w:p>
    <w:p w14:paraId="45016341">
      <w:pPr>
        <w:spacing w:after="190"/>
        <w:ind w:firstLine="560"/>
        <w:rPr>
          <w:rFonts w:ascii="宋体" w:hAnsi="宋体"/>
          <w:sz w:val="28"/>
          <w:szCs w:val="28"/>
        </w:rPr>
      </w:pPr>
      <w:r>
        <w:rPr>
          <w:rFonts w:hint="eastAsia" w:ascii="宋体" w:hAnsi="宋体"/>
          <w:sz w:val="28"/>
          <w:szCs w:val="28"/>
        </w:rPr>
        <w:t>（5）见证监督调度中心：对场地监控、行为监控、视频会议、屏幕录屏等进行四位一体见证监督；</w:t>
      </w:r>
    </w:p>
    <w:p w14:paraId="2573DDB6">
      <w:pPr>
        <w:spacing w:after="190"/>
        <w:ind w:firstLine="560"/>
        <w:rPr>
          <w:rFonts w:ascii="宋体" w:hAnsi="宋体"/>
          <w:sz w:val="28"/>
          <w:szCs w:val="28"/>
        </w:rPr>
      </w:pPr>
      <w:r>
        <w:rPr>
          <w:rFonts w:hint="eastAsia" w:ascii="宋体" w:hAnsi="宋体"/>
          <w:sz w:val="28"/>
          <w:szCs w:val="28"/>
        </w:rPr>
        <w:t>（6）归档及存储调度中心：对主副会场的音视频文件进行统一归档与存储；</w:t>
      </w:r>
    </w:p>
    <w:p w14:paraId="4120C579">
      <w:pPr>
        <w:spacing w:after="190"/>
        <w:ind w:firstLine="560"/>
        <w:rPr>
          <w:rFonts w:ascii="宋体" w:hAnsi="宋体"/>
          <w:sz w:val="28"/>
          <w:szCs w:val="28"/>
        </w:rPr>
      </w:pPr>
      <w:r>
        <w:rPr>
          <w:rFonts w:hint="eastAsia" w:ascii="宋体" w:hAnsi="宋体"/>
          <w:sz w:val="28"/>
          <w:szCs w:val="28"/>
        </w:rPr>
        <w:t>（7）统一用户及授权中心：对接政府采购交易系统，对接评审场地认证系统，完成统一用户授权。</w:t>
      </w:r>
    </w:p>
    <w:p w14:paraId="5C95AA8D">
      <w:pPr>
        <w:pStyle w:val="7"/>
        <w:spacing w:after="190"/>
        <w:ind w:firstLine="560"/>
        <w:rPr>
          <w:rFonts w:ascii="宋体" w:hAnsi="宋体"/>
          <w:sz w:val="28"/>
          <w:szCs w:val="28"/>
        </w:rPr>
      </w:pPr>
      <w:r>
        <w:rPr>
          <w:rFonts w:hint="eastAsia" w:ascii="宋体" w:hAnsi="宋体"/>
          <w:sz w:val="28"/>
          <w:szCs w:val="28"/>
          <w:lang w:val="en-US" w:eastAsia="zh-CN"/>
        </w:rPr>
        <w:t>2.2</w:t>
      </w:r>
      <w:r>
        <w:rPr>
          <w:rFonts w:hint="eastAsia" w:ascii="宋体" w:hAnsi="宋体"/>
          <w:sz w:val="28"/>
          <w:szCs w:val="28"/>
        </w:rPr>
        <w:t>视频会议系统</w:t>
      </w:r>
    </w:p>
    <w:p w14:paraId="711808C3">
      <w:pPr>
        <w:spacing w:after="190"/>
        <w:ind w:firstLine="560"/>
        <w:rPr>
          <w:rFonts w:ascii="宋体" w:hAnsi="宋体"/>
          <w:sz w:val="28"/>
          <w:szCs w:val="28"/>
        </w:rPr>
      </w:pPr>
      <w:r>
        <w:rPr>
          <w:rFonts w:hint="eastAsia" w:ascii="宋体" w:hAnsi="宋体"/>
          <w:sz w:val="28"/>
          <w:szCs w:val="28"/>
        </w:rPr>
        <w:t>视频会议系统，功能包括提供远程视频会议系统，自动读取云平台提供的标准数据接口，为评审专家、供应商、代理机构提供远程评标时所需要的音视频、文字交流功能。</w:t>
      </w:r>
    </w:p>
    <w:p w14:paraId="7B2B7B87">
      <w:pPr>
        <w:spacing w:after="190"/>
        <w:ind w:firstLine="560"/>
        <w:rPr>
          <w:rFonts w:ascii="宋体" w:hAnsi="宋体"/>
          <w:sz w:val="28"/>
          <w:szCs w:val="28"/>
        </w:rPr>
      </w:pPr>
      <w:r>
        <w:rPr>
          <w:rFonts w:hint="eastAsia" w:ascii="宋体" w:hAnsi="宋体"/>
          <w:sz w:val="28"/>
          <w:szCs w:val="28"/>
        </w:rPr>
        <w:t>具体参数如下：</w:t>
      </w:r>
    </w:p>
    <w:p w14:paraId="2CC58BAE">
      <w:pPr>
        <w:spacing w:after="190"/>
        <w:ind w:firstLine="560"/>
        <w:rPr>
          <w:rFonts w:ascii="宋体" w:hAnsi="宋体"/>
          <w:sz w:val="28"/>
          <w:szCs w:val="28"/>
        </w:rPr>
      </w:pPr>
      <w:r>
        <w:rPr>
          <w:rFonts w:hint="eastAsia" w:ascii="宋体" w:hAnsi="宋体"/>
          <w:sz w:val="28"/>
          <w:szCs w:val="28"/>
        </w:rPr>
        <w:t>（1）支持最多300方同时参会，多方音视频互动服务；</w:t>
      </w:r>
    </w:p>
    <w:p w14:paraId="0AC8A8FA">
      <w:pPr>
        <w:spacing w:after="190"/>
        <w:ind w:firstLine="560"/>
        <w:rPr>
          <w:rFonts w:ascii="宋体" w:hAnsi="宋体"/>
          <w:sz w:val="28"/>
          <w:szCs w:val="28"/>
        </w:rPr>
      </w:pPr>
      <w:r>
        <w:rPr>
          <w:rFonts w:hint="eastAsia" w:ascii="宋体" w:hAnsi="宋体"/>
          <w:sz w:val="28"/>
          <w:szCs w:val="28"/>
        </w:rPr>
        <w:t>（2）不限会议室数量；</w:t>
      </w:r>
    </w:p>
    <w:p w14:paraId="7D462913">
      <w:pPr>
        <w:spacing w:after="190"/>
        <w:ind w:firstLine="560"/>
        <w:rPr>
          <w:rFonts w:ascii="宋体" w:hAnsi="宋体"/>
          <w:sz w:val="28"/>
          <w:szCs w:val="28"/>
        </w:rPr>
      </w:pPr>
      <w:r>
        <w:rPr>
          <w:rFonts w:hint="eastAsia" w:ascii="宋体" w:hAnsi="宋体"/>
          <w:sz w:val="28"/>
          <w:szCs w:val="28"/>
        </w:rPr>
        <w:t>（3）视频支持H.265、H.264 SVC编解码协议，能够适应不同线路带宽、不同设备能力、不同网络环境的组网需求；</w:t>
      </w:r>
    </w:p>
    <w:p w14:paraId="74BAB098">
      <w:pPr>
        <w:spacing w:after="190"/>
        <w:ind w:firstLine="560"/>
        <w:rPr>
          <w:rFonts w:ascii="宋体" w:hAnsi="宋体"/>
          <w:sz w:val="28"/>
          <w:szCs w:val="28"/>
        </w:rPr>
      </w:pPr>
      <w:r>
        <w:rPr>
          <w:rFonts w:hint="eastAsia" w:ascii="宋体" w:hAnsi="宋体"/>
          <w:sz w:val="28"/>
          <w:szCs w:val="28"/>
        </w:rPr>
        <w:t>（4）支持4K、1080P、720P高清视频处理；</w:t>
      </w:r>
    </w:p>
    <w:p w14:paraId="38D14D03">
      <w:pPr>
        <w:spacing w:after="190"/>
        <w:ind w:firstLine="560"/>
        <w:rPr>
          <w:rFonts w:ascii="宋体" w:hAnsi="宋体"/>
          <w:sz w:val="28"/>
          <w:szCs w:val="28"/>
        </w:rPr>
      </w:pPr>
      <w:r>
        <w:rPr>
          <w:rFonts w:hint="eastAsia" w:ascii="宋体" w:hAnsi="宋体"/>
          <w:sz w:val="28"/>
          <w:szCs w:val="28"/>
        </w:rPr>
        <w:t>（5）音频支持G.711、G.722、OPUS协议，支持48K采样率的全带音频；</w:t>
      </w:r>
    </w:p>
    <w:p w14:paraId="4F434C12">
      <w:pPr>
        <w:spacing w:after="190"/>
        <w:ind w:firstLine="560"/>
        <w:rPr>
          <w:rFonts w:ascii="宋体" w:hAnsi="宋体"/>
          <w:sz w:val="28"/>
          <w:szCs w:val="28"/>
        </w:rPr>
      </w:pPr>
      <w:r>
        <w:rPr>
          <w:rFonts w:hint="eastAsia" w:ascii="宋体" w:hAnsi="宋体"/>
          <w:sz w:val="28"/>
          <w:szCs w:val="28"/>
        </w:rPr>
        <w:t>（6）支持XGA、SXGA、WXGA、720P、1080P等分辨率的共享内容。支持共享内容自动选择最佳分辨率与帧率；</w:t>
      </w:r>
    </w:p>
    <w:p w14:paraId="0CBB7557">
      <w:pPr>
        <w:spacing w:after="190"/>
        <w:ind w:firstLine="560"/>
        <w:rPr>
          <w:rFonts w:ascii="宋体" w:hAnsi="宋体"/>
          <w:sz w:val="28"/>
          <w:szCs w:val="28"/>
        </w:rPr>
      </w:pPr>
      <w:r>
        <w:rPr>
          <w:rFonts w:hint="eastAsia" w:ascii="宋体" w:hAnsi="宋体"/>
          <w:sz w:val="28"/>
          <w:szCs w:val="28"/>
        </w:rPr>
        <w:t>（7）支持多路内容共享，允许会议中多个终端进行内容共享，会控可以选择其中一路进行内容广播；</w:t>
      </w:r>
    </w:p>
    <w:p w14:paraId="42DB81DD">
      <w:pPr>
        <w:spacing w:after="190"/>
        <w:ind w:firstLine="560"/>
        <w:rPr>
          <w:rFonts w:ascii="宋体" w:hAnsi="宋体"/>
          <w:sz w:val="28"/>
          <w:szCs w:val="28"/>
        </w:rPr>
      </w:pPr>
      <w:r>
        <w:rPr>
          <w:rFonts w:hint="eastAsia" w:ascii="宋体" w:hAnsi="宋体"/>
          <w:sz w:val="28"/>
          <w:szCs w:val="28"/>
        </w:rPr>
        <w:t>（8）通讯信令通道支持SSL加密，媒体传输支持AES256加密；</w:t>
      </w:r>
    </w:p>
    <w:p w14:paraId="014D8ADF">
      <w:pPr>
        <w:spacing w:after="190"/>
        <w:ind w:firstLine="560"/>
        <w:rPr>
          <w:rFonts w:ascii="宋体" w:hAnsi="宋体"/>
          <w:sz w:val="28"/>
          <w:szCs w:val="28"/>
        </w:rPr>
      </w:pPr>
      <w:r>
        <w:rPr>
          <w:rFonts w:hint="eastAsia" w:ascii="宋体" w:hAnsi="宋体"/>
          <w:sz w:val="28"/>
          <w:szCs w:val="28"/>
        </w:rPr>
        <w:t>（9）视频呼叫支持64Kbps至8Mbps带宽自适应，并可实时显示当前自适应呼叫带宽；</w:t>
      </w:r>
    </w:p>
    <w:p w14:paraId="4E06006A">
      <w:pPr>
        <w:spacing w:after="190"/>
        <w:ind w:firstLine="560"/>
        <w:rPr>
          <w:rFonts w:ascii="宋体" w:hAnsi="宋体"/>
          <w:sz w:val="28"/>
          <w:szCs w:val="28"/>
        </w:rPr>
      </w:pPr>
      <w:r>
        <w:rPr>
          <w:rFonts w:hint="eastAsia" w:ascii="宋体" w:hAnsi="宋体"/>
          <w:sz w:val="28"/>
          <w:szCs w:val="28"/>
        </w:rPr>
        <w:t>（1</w:t>
      </w:r>
      <w:r>
        <w:rPr>
          <w:rFonts w:ascii="宋体" w:hAnsi="宋体"/>
          <w:sz w:val="28"/>
          <w:szCs w:val="28"/>
        </w:rPr>
        <w:t>0</w:t>
      </w:r>
      <w:r>
        <w:rPr>
          <w:rFonts w:hint="eastAsia" w:ascii="宋体" w:hAnsi="宋体"/>
          <w:sz w:val="28"/>
          <w:szCs w:val="28"/>
        </w:rPr>
        <w:t>）支持网络抗丢包算法，在丢包率30%的情况下能保证视频流畅传输，帧率不低于25帧/秒；</w:t>
      </w:r>
    </w:p>
    <w:p w14:paraId="1E4FE923">
      <w:pPr>
        <w:spacing w:after="190"/>
        <w:ind w:firstLine="560"/>
        <w:rPr>
          <w:rFonts w:ascii="宋体" w:hAnsi="宋体"/>
          <w:sz w:val="28"/>
          <w:szCs w:val="28"/>
        </w:rPr>
      </w:pPr>
      <w:r>
        <w:rPr>
          <w:rFonts w:hint="eastAsia" w:ascii="宋体" w:hAnsi="宋体"/>
          <w:sz w:val="28"/>
          <w:szCs w:val="28"/>
        </w:rPr>
        <w:t>（1</w:t>
      </w:r>
      <w:r>
        <w:rPr>
          <w:rFonts w:ascii="宋体" w:hAnsi="宋体"/>
          <w:sz w:val="28"/>
          <w:szCs w:val="28"/>
        </w:rPr>
        <w:t>1</w:t>
      </w:r>
      <w:r>
        <w:rPr>
          <w:rFonts w:hint="eastAsia" w:ascii="宋体" w:hAnsi="宋体"/>
          <w:sz w:val="28"/>
          <w:szCs w:val="28"/>
        </w:rPr>
        <w:t>）录制的视频文件支持分段加密并保存在云端，密钥和媒体文件独立保存；</w:t>
      </w:r>
    </w:p>
    <w:p w14:paraId="182985C3">
      <w:pPr>
        <w:spacing w:after="190"/>
        <w:ind w:firstLine="560"/>
        <w:rPr>
          <w:rFonts w:ascii="宋体" w:hAnsi="宋体"/>
          <w:sz w:val="28"/>
          <w:szCs w:val="28"/>
        </w:rPr>
      </w:pPr>
      <w:r>
        <w:rPr>
          <w:rFonts w:hint="eastAsia" w:ascii="宋体" w:hAnsi="宋体"/>
          <w:sz w:val="28"/>
          <w:szCs w:val="28"/>
        </w:rPr>
        <w:t>（1</w:t>
      </w:r>
      <w:r>
        <w:rPr>
          <w:rFonts w:ascii="宋体" w:hAnsi="宋体"/>
          <w:sz w:val="28"/>
          <w:szCs w:val="28"/>
        </w:rPr>
        <w:t>2</w:t>
      </w:r>
      <w:r>
        <w:rPr>
          <w:rFonts w:hint="eastAsia" w:ascii="宋体" w:hAnsi="宋体"/>
          <w:sz w:val="28"/>
          <w:szCs w:val="28"/>
        </w:rPr>
        <w:t>）提供防火墙穿越能力，TCP端口不高于2个，UDP端口不高于1个。</w:t>
      </w:r>
    </w:p>
    <w:p w14:paraId="7588B291">
      <w:pPr>
        <w:pStyle w:val="7"/>
        <w:spacing w:after="190"/>
        <w:ind w:firstLine="560"/>
        <w:rPr>
          <w:rFonts w:ascii="宋体" w:hAnsi="宋体"/>
          <w:sz w:val="28"/>
          <w:szCs w:val="28"/>
        </w:rPr>
      </w:pPr>
      <w:r>
        <w:rPr>
          <w:rFonts w:hint="eastAsia" w:ascii="宋体" w:hAnsi="宋体"/>
          <w:sz w:val="28"/>
          <w:szCs w:val="28"/>
          <w:lang w:val="en-US" w:eastAsia="zh-CN"/>
        </w:rPr>
        <w:t>2.3</w:t>
      </w:r>
      <w:r>
        <w:rPr>
          <w:rFonts w:hint="eastAsia" w:ascii="宋体" w:hAnsi="宋体"/>
          <w:sz w:val="28"/>
          <w:szCs w:val="28"/>
        </w:rPr>
        <w:t xml:space="preserve"> 流媒体系统</w:t>
      </w:r>
    </w:p>
    <w:p w14:paraId="720C791E">
      <w:pPr>
        <w:spacing w:after="190"/>
        <w:ind w:firstLine="560"/>
        <w:rPr>
          <w:rFonts w:ascii="宋体" w:hAnsi="宋体"/>
          <w:sz w:val="28"/>
          <w:szCs w:val="28"/>
        </w:rPr>
      </w:pPr>
      <w:r>
        <w:rPr>
          <w:rFonts w:hint="eastAsia" w:ascii="宋体" w:hAnsi="宋体"/>
          <w:sz w:val="28"/>
          <w:szCs w:val="28"/>
        </w:rPr>
        <w:t>流媒体系统，功能包括提供音视频采集、流媒体处理、见证云服务等。</w:t>
      </w:r>
    </w:p>
    <w:p w14:paraId="69750456">
      <w:pPr>
        <w:spacing w:after="190"/>
        <w:ind w:firstLine="560"/>
        <w:rPr>
          <w:rFonts w:ascii="宋体" w:hAnsi="宋体"/>
          <w:sz w:val="28"/>
          <w:szCs w:val="28"/>
        </w:rPr>
      </w:pPr>
      <w:r>
        <w:rPr>
          <w:rFonts w:hint="eastAsia" w:ascii="宋体" w:hAnsi="宋体"/>
          <w:sz w:val="28"/>
          <w:szCs w:val="28"/>
        </w:rPr>
        <w:t>具体参数如下：</w:t>
      </w:r>
    </w:p>
    <w:p w14:paraId="2EFB9C09">
      <w:pPr>
        <w:spacing w:after="190"/>
        <w:ind w:firstLine="560"/>
        <w:rPr>
          <w:rFonts w:ascii="宋体" w:hAnsi="宋体"/>
          <w:sz w:val="28"/>
          <w:szCs w:val="28"/>
        </w:rPr>
      </w:pPr>
      <w:r>
        <w:rPr>
          <w:rFonts w:hint="eastAsia" w:ascii="宋体" w:hAnsi="宋体"/>
          <w:sz w:val="28"/>
          <w:szCs w:val="28"/>
        </w:rPr>
        <w:t>（1）音视频采集，包括采集监控摄像头、专家评审电脑屏幕、评审电脑外接的摄像头所产生的音视频流；</w:t>
      </w:r>
    </w:p>
    <w:p w14:paraId="12A7D4FD">
      <w:pPr>
        <w:spacing w:after="190"/>
        <w:ind w:firstLine="560"/>
        <w:rPr>
          <w:rFonts w:ascii="宋体" w:hAnsi="宋体"/>
          <w:sz w:val="28"/>
          <w:szCs w:val="28"/>
        </w:rPr>
      </w:pPr>
      <w:r>
        <w:rPr>
          <w:rFonts w:hint="eastAsia" w:ascii="宋体" w:hAnsi="宋体"/>
          <w:sz w:val="28"/>
          <w:szCs w:val="28"/>
        </w:rPr>
        <w:t>（2）流媒体处理，对采集的音视频流进行转码、混流、推流等；</w:t>
      </w:r>
    </w:p>
    <w:p w14:paraId="4CD21D36">
      <w:pPr>
        <w:spacing w:after="190"/>
        <w:ind w:firstLine="560"/>
        <w:rPr>
          <w:rFonts w:ascii="宋体" w:hAnsi="宋体"/>
          <w:sz w:val="28"/>
          <w:szCs w:val="28"/>
        </w:rPr>
      </w:pPr>
      <w:r>
        <w:rPr>
          <w:rFonts w:hint="eastAsia" w:ascii="宋体" w:hAnsi="宋体"/>
          <w:sz w:val="28"/>
          <w:szCs w:val="28"/>
        </w:rPr>
        <w:t>（3）见证监督云服务，提供四位一体见证监督整合服务能力。</w:t>
      </w:r>
    </w:p>
    <w:p w14:paraId="3CE0889D">
      <w:pPr>
        <w:pStyle w:val="7"/>
        <w:spacing w:after="190"/>
        <w:ind w:firstLine="560"/>
        <w:rPr>
          <w:rFonts w:ascii="宋体" w:hAnsi="宋体"/>
          <w:sz w:val="28"/>
          <w:szCs w:val="28"/>
        </w:rPr>
      </w:pPr>
      <w:r>
        <w:rPr>
          <w:rFonts w:hint="eastAsia" w:ascii="宋体" w:hAnsi="宋体"/>
          <w:sz w:val="28"/>
          <w:szCs w:val="28"/>
          <w:lang w:val="en-US" w:eastAsia="zh-CN"/>
        </w:rPr>
        <w:t>2.4</w:t>
      </w:r>
      <w:r>
        <w:rPr>
          <w:rFonts w:hint="eastAsia" w:ascii="宋体" w:hAnsi="宋体"/>
          <w:sz w:val="28"/>
          <w:szCs w:val="28"/>
        </w:rPr>
        <w:t>音视频暂存系统</w:t>
      </w:r>
    </w:p>
    <w:p w14:paraId="4E97135D">
      <w:pPr>
        <w:spacing w:after="190"/>
        <w:ind w:firstLine="560"/>
        <w:rPr>
          <w:rFonts w:ascii="宋体" w:hAnsi="宋体"/>
          <w:sz w:val="28"/>
          <w:szCs w:val="28"/>
        </w:rPr>
      </w:pPr>
      <w:r>
        <w:rPr>
          <w:rFonts w:hint="eastAsia" w:ascii="宋体" w:hAnsi="宋体"/>
          <w:sz w:val="28"/>
          <w:szCs w:val="28"/>
        </w:rPr>
        <w:t>音视频暂存系统，功能包括对远程异地评审过程产生的音视频资料提供云端暂存服务。</w:t>
      </w:r>
    </w:p>
    <w:p w14:paraId="6E16322C">
      <w:pPr>
        <w:spacing w:after="190"/>
        <w:ind w:firstLine="560"/>
        <w:rPr>
          <w:rFonts w:ascii="宋体" w:hAnsi="宋体"/>
          <w:sz w:val="28"/>
          <w:szCs w:val="28"/>
        </w:rPr>
      </w:pPr>
      <w:r>
        <w:rPr>
          <w:rFonts w:hint="eastAsia" w:ascii="宋体" w:hAnsi="宋体"/>
          <w:sz w:val="28"/>
          <w:szCs w:val="28"/>
        </w:rPr>
        <w:t>具体参数如下：</w:t>
      </w:r>
    </w:p>
    <w:p w14:paraId="5BCE0746">
      <w:pPr>
        <w:spacing w:after="190"/>
        <w:ind w:firstLine="560"/>
        <w:rPr>
          <w:rFonts w:ascii="宋体" w:hAnsi="宋体"/>
          <w:sz w:val="28"/>
          <w:szCs w:val="28"/>
        </w:rPr>
      </w:pPr>
      <w:r>
        <w:rPr>
          <w:rFonts w:hint="eastAsia" w:ascii="宋体" w:hAnsi="宋体"/>
          <w:sz w:val="28"/>
          <w:szCs w:val="28"/>
        </w:rPr>
        <w:t>500G滚动云存储，单项目最长存储期限为30天。</w:t>
      </w:r>
    </w:p>
    <w:p w14:paraId="293A59F4">
      <w:pPr>
        <w:pStyle w:val="7"/>
        <w:spacing w:after="190"/>
        <w:ind w:firstLine="560"/>
        <w:rPr>
          <w:rFonts w:ascii="宋体" w:hAnsi="宋体"/>
          <w:sz w:val="28"/>
          <w:szCs w:val="28"/>
        </w:rPr>
      </w:pPr>
      <w:r>
        <w:rPr>
          <w:rFonts w:hint="eastAsia" w:ascii="宋体" w:hAnsi="宋体"/>
          <w:sz w:val="28"/>
          <w:szCs w:val="28"/>
        </w:rPr>
        <w:t>5.2.1.5音视频存储调度系统</w:t>
      </w:r>
    </w:p>
    <w:p w14:paraId="36593AC6">
      <w:pPr>
        <w:spacing w:after="190"/>
        <w:ind w:firstLine="560"/>
        <w:rPr>
          <w:rFonts w:ascii="宋体" w:hAnsi="宋体"/>
          <w:sz w:val="28"/>
          <w:szCs w:val="28"/>
        </w:rPr>
      </w:pPr>
      <w:r>
        <w:rPr>
          <w:rFonts w:hint="eastAsia" w:ascii="宋体" w:hAnsi="宋体"/>
          <w:sz w:val="28"/>
          <w:szCs w:val="28"/>
        </w:rPr>
        <w:t>音视频存储调度系统，功能包括根据远程异地评审系统建设单位指定的音视频存储路径归集全部音视频资料。</w:t>
      </w:r>
    </w:p>
    <w:p w14:paraId="21E86EBB">
      <w:pPr>
        <w:spacing w:after="190"/>
        <w:ind w:firstLine="560"/>
        <w:rPr>
          <w:rFonts w:ascii="宋体" w:hAnsi="宋体"/>
          <w:sz w:val="28"/>
          <w:szCs w:val="28"/>
        </w:rPr>
      </w:pPr>
      <w:r>
        <w:rPr>
          <w:rFonts w:hint="eastAsia" w:ascii="宋体" w:hAnsi="宋体"/>
          <w:sz w:val="28"/>
          <w:szCs w:val="28"/>
        </w:rPr>
        <w:t>具体功能如下：</w:t>
      </w:r>
    </w:p>
    <w:p w14:paraId="5C78635B">
      <w:pPr>
        <w:spacing w:after="190"/>
        <w:ind w:firstLine="560"/>
        <w:rPr>
          <w:rFonts w:ascii="宋体" w:hAnsi="宋体"/>
          <w:sz w:val="28"/>
          <w:szCs w:val="28"/>
        </w:rPr>
      </w:pPr>
      <w:r>
        <w:rPr>
          <w:rFonts w:hint="eastAsia" w:ascii="宋体" w:hAnsi="宋体"/>
          <w:sz w:val="28"/>
          <w:szCs w:val="28"/>
        </w:rPr>
        <w:t>自动拼接、拉取主、分会场音视频信息，并将其存储至远程异地评审系统建设单位指定的音视频存储路径。</w:t>
      </w:r>
    </w:p>
    <w:p w14:paraId="33342B75">
      <w:pPr>
        <w:pStyle w:val="16"/>
        <w:spacing w:after="190"/>
        <w:ind w:firstLine="560"/>
        <w:rPr>
          <w:rFonts w:ascii="宋体" w:hAnsi="宋体" w:cs="宋体"/>
          <w:sz w:val="28"/>
          <w:szCs w:val="28"/>
        </w:rPr>
      </w:pPr>
      <w:r>
        <w:rPr>
          <w:rFonts w:hint="eastAsia" w:ascii="宋体" w:hAnsi="宋体" w:cs="宋体"/>
          <w:sz w:val="28"/>
          <w:szCs w:val="28"/>
        </w:rPr>
        <w:t>远程异地评审系统配套应用软件主要参数如下：</w:t>
      </w:r>
    </w:p>
    <w:tbl>
      <w:tblPr>
        <w:tblStyle w:val="12"/>
        <w:tblW w:w="5000" w:type="pct"/>
        <w:tblInd w:w="0" w:type="dxa"/>
        <w:tblLayout w:type="autofit"/>
        <w:tblCellMar>
          <w:top w:w="0" w:type="dxa"/>
          <w:left w:w="108" w:type="dxa"/>
          <w:bottom w:w="0" w:type="dxa"/>
          <w:right w:w="108" w:type="dxa"/>
        </w:tblCellMar>
      </w:tblPr>
      <w:tblGrid>
        <w:gridCol w:w="653"/>
        <w:gridCol w:w="1656"/>
        <w:gridCol w:w="2089"/>
        <w:gridCol w:w="4124"/>
      </w:tblGrid>
      <w:tr w14:paraId="7FC41C50">
        <w:tblPrEx>
          <w:tblCellMar>
            <w:top w:w="0" w:type="dxa"/>
            <w:left w:w="108" w:type="dxa"/>
            <w:bottom w:w="0" w:type="dxa"/>
            <w:right w:w="108" w:type="dxa"/>
          </w:tblCellMar>
        </w:tblPrEx>
        <w:trPr>
          <w:trHeight w:val="480" w:hRule="atLeast"/>
        </w:trPr>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14:paraId="2FC4C2FE">
            <w:pPr>
              <w:widowControl/>
              <w:spacing w:after="120" w:afterLines="0" w:line="240" w:lineRule="auto"/>
              <w:ind w:firstLine="0" w:firstLineChars="0"/>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908" w:type="pct"/>
            <w:tcBorders>
              <w:top w:val="single" w:color="auto" w:sz="4" w:space="0"/>
              <w:left w:val="nil"/>
              <w:bottom w:val="single" w:color="auto" w:sz="4" w:space="0"/>
              <w:right w:val="single" w:color="auto" w:sz="4" w:space="0"/>
            </w:tcBorders>
            <w:shd w:val="clear" w:color="auto" w:fill="auto"/>
            <w:vAlign w:val="center"/>
          </w:tcPr>
          <w:p w14:paraId="7422115F">
            <w:pPr>
              <w:widowControl/>
              <w:spacing w:after="0" w:afterLines="0" w:line="240" w:lineRule="auto"/>
              <w:ind w:firstLine="0" w:firstLineChars="0"/>
              <w:jc w:val="center"/>
              <w:rPr>
                <w:rFonts w:ascii="宋体" w:hAnsi="宋体" w:cs="宋体"/>
                <w:b/>
                <w:bCs/>
                <w:color w:val="000000"/>
                <w:kern w:val="0"/>
                <w:sz w:val="24"/>
                <w:szCs w:val="24"/>
              </w:rPr>
            </w:pPr>
            <w:r>
              <w:rPr>
                <w:rFonts w:hint="eastAsia" w:ascii="宋体" w:hAnsi="宋体" w:cs="宋体"/>
                <w:b/>
                <w:bCs/>
                <w:color w:val="000000"/>
                <w:kern w:val="0"/>
                <w:sz w:val="24"/>
                <w:szCs w:val="24"/>
              </w:rPr>
              <w:t>项目</w:t>
            </w:r>
          </w:p>
        </w:tc>
        <w:tc>
          <w:tcPr>
            <w:tcW w:w="1247" w:type="pct"/>
            <w:tcBorders>
              <w:top w:val="single" w:color="auto" w:sz="4" w:space="0"/>
              <w:left w:val="nil"/>
              <w:bottom w:val="single" w:color="auto" w:sz="4" w:space="0"/>
              <w:right w:val="single" w:color="auto" w:sz="4" w:space="0"/>
            </w:tcBorders>
            <w:shd w:val="clear" w:color="auto" w:fill="auto"/>
            <w:vAlign w:val="center"/>
          </w:tcPr>
          <w:p w14:paraId="44592E10">
            <w:pPr>
              <w:widowControl/>
              <w:spacing w:after="0" w:afterLines="0" w:line="240" w:lineRule="auto"/>
              <w:ind w:firstLine="0" w:firstLineChars="0"/>
              <w:jc w:val="center"/>
              <w:rPr>
                <w:rFonts w:ascii="宋体" w:hAnsi="宋体" w:cs="宋体"/>
                <w:b/>
                <w:bCs/>
                <w:color w:val="000000"/>
                <w:kern w:val="0"/>
                <w:sz w:val="24"/>
                <w:szCs w:val="24"/>
              </w:rPr>
            </w:pPr>
            <w:r>
              <w:rPr>
                <w:rFonts w:hint="eastAsia" w:ascii="宋体" w:hAnsi="宋体" w:cs="宋体"/>
                <w:b/>
                <w:bCs/>
                <w:color w:val="000000"/>
                <w:kern w:val="0"/>
                <w:sz w:val="24"/>
                <w:szCs w:val="24"/>
              </w:rPr>
              <w:t>功能</w:t>
            </w:r>
          </w:p>
        </w:tc>
        <w:tc>
          <w:tcPr>
            <w:tcW w:w="2441" w:type="pct"/>
            <w:tcBorders>
              <w:top w:val="single" w:color="auto" w:sz="4" w:space="0"/>
              <w:left w:val="nil"/>
              <w:bottom w:val="single" w:color="auto" w:sz="4" w:space="0"/>
              <w:right w:val="single" w:color="auto" w:sz="4" w:space="0"/>
            </w:tcBorders>
            <w:shd w:val="clear" w:color="auto" w:fill="auto"/>
            <w:vAlign w:val="center"/>
          </w:tcPr>
          <w:p w14:paraId="5CFB11A1">
            <w:pPr>
              <w:widowControl/>
              <w:spacing w:after="0" w:afterLines="0" w:line="240" w:lineRule="auto"/>
              <w:ind w:firstLine="0" w:firstLineChars="0"/>
              <w:jc w:val="center"/>
              <w:rPr>
                <w:rFonts w:ascii="宋体" w:hAnsi="宋体" w:cs="宋体"/>
                <w:b/>
                <w:bCs/>
                <w:color w:val="000000"/>
                <w:kern w:val="0"/>
                <w:sz w:val="24"/>
                <w:szCs w:val="24"/>
              </w:rPr>
            </w:pPr>
            <w:r>
              <w:rPr>
                <w:rFonts w:hint="eastAsia" w:ascii="宋体" w:hAnsi="宋体" w:cs="宋体"/>
                <w:b/>
                <w:bCs/>
                <w:color w:val="000000"/>
                <w:kern w:val="0"/>
                <w:sz w:val="24"/>
                <w:szCs w:val="24"/>
              </w:rPr>
              <w:t>参数</w:t>
            </w:r>
          </w:p>
        </w:tc>
      </w:tr>
      <w:tr w14:paraId="2711791C">
        <w:tblPrEx>
          <w:tblCellMar>
            <w:top w:w="0" w:type="dxa"/>
            <w:left w:w="108" w:type="dxa"/>
            <w:bottom w:w="0" w:type="dxa"/>
            <w:right w:w="108" w:type="dxa"/>
          </w:tblCellMar>
        </w:tblPrEx>
        <w:trPr>
          <w:trHeight w:val="1000" w:hRule="atLeast"/>
        </w:trPr>
        <w:tc>
          <w:tcPr>
            <w:tcW w:w="404" w:type="pct"/>
            <w:vMerge w:val="restart"/>
            <w:tcBorders>
              <w:top w:val="nil"/>
              <w:left w:val="single" w:color="auto" w:sz="4" w:space="0"/>
              <w:bottom w:val="single" w:color="auto" w:sz="4" w:space="0"/>
              <w:right w:val="single" w:color="auto" w:sz="4" w:space="0"/>
            </w:tcBorders>
            <w:shd w:val="clear" w:color="auto" w:fill="auto"/>
            <w:vAlign w:val="center"/>
          </w:tcPr>
          <w:p w14:paraId="086F3272">
            <w:pPr>
              <w:widowControl/>
              <w:spacing w:after="0" w:afterLines="0" w:line="240" w:lineRule="auto"/>
              <w:ind w:firstLine="0" w:firstLineChars="0"/>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908" w:type="pct"/>
            <w:vMerge w:val="restart"/>
            <w:tcBorders>
              <w:top w:val="nil"/>
              <w:left w:val="single" w:color="auto" w:sz="4" w:space="0"/>
              <w:bottom w:val="single" w:color="auto" w:sz="4" w:space="0"/>
              <w:right w:val="single" w:color="auto" w:sz="4" w:space="0"/>
            </w:tcBorders>
            <w:shd w:val="clear" w:color="auto" w:fill="auto"/>
            <w:vAlign w:val="center"/>
          </w:tcPr>
          <w:p w14:paraId="2B736B74">
            <w:pPr>
              <w:widowControl/>
              <w:spacing w:after="0" w:afterLines="0" w:line="240" w:lineRule="auto"/>
              <w:ind w:firstLine="0" w:firstLineChars="0"/>
              <w:jc w:val="center"/>
              <w:rPr>
                <w:rFonts w:ascii="宋体" w:hAnsi="宋体" w:cs="宋体"/>
                <w:b/>
                <w:bCs/>
                <w:color w:val="000000"/>
                <w:kern w:val="0"/>
                <w:sz w:val="24"/>
                <w:szCs w:val="24"/>
              </w:rPr>
            </w:pPr>
            <w:r>
              <w:rPr>
                <w:rFonts w:hint="eastAsia" w:ascii="宋体" w:hAnsi="宋体" w:cs="宋体"/>
                <w:b/>
                <w:bCs/>
                <w:color w:val="000000"/>
                <w:kern w:val="0"/>
                <w:sz w:val="24"/>
                <w:szCs w:val="24"/>
              </w:rPr>
              <w:t>远程异地多维调度系统应用服务</w:t>
            </w:r>
          </w:p>
        </w:tc>
        <w:tc>
          <w:tcPr>
            <w:tcW w:w="1247" w:type="pct"/>
            <w:vMerge w:val="restart"/>
            <w:tcBorders>
              <w:top w:val="nil"/>
              <w:left w:val="single" w:color="auto" w:sz="4" w:space="0"/>
              <w:bottom w:val="single" w:color="auto" w:sz="4" w:space="0"/>
              <w:right w:val="single" w:color="auto" w:sz="4" w:space="0"/>
            </w:tcBorders>
            <w:shd w:val="clear" w:color="auto" w:fill="auto"/>
            <w:vAlign w:val="center"/>
          </w:tcPr>
          <w:p w14:paraId="51EC6374">
            <w:pPr>
              <w:widowControl/>
              <w:spacing w:after="0" w:afterLines="0" w:line="240" w:lineRule="auto"/>
              <w:ind w:firstLine="0" w:firstLineChars="0"/>
              <w:jc w:val="center"/>
              <w:rPr>
                <w:rFonts w:ascii="宋体" w:hAnsi="宋体" w:cs="宋体"/>
                <w:color w:val="000000"/>
                <w:kern w:val="0"/>
                <w:sz w:val="24"/>
                <w:szCs w:val="24"/>
              </w:rPr>
            </w:pPr>
            <w:r>
              <w:rPr>
                <w:rFonts w:hint="eastAsia" w:ascii="宋体" w:hAnsi="宋体" w:cs="宋体"/>
                <w:color w:val="000000"/>
                <w:kern w:val="0"/>
                <w:sz w:val="24"/>
                <w:szCs w:val="24"/>
              </w:rPr>
              <w:t>包括远程异地评审服务中心、专家资源共享和调度中心、场地资源共享和调度中心、政府采购业务对接中心、视频会议调度中心、见证监督调度中心、归档及存储调度中心以及统一用户及授权中心。</w:t>
            </w:r>
          </w:p>
        </w:tc>
        <w:tc>
          <w:tcPr>
            <w:tcW w:w="2441" w:type="pct"/>
            <w:tcBorders>
              <w:top w:val="nil"/>
              <w:left w:val="nil"/>
              <w:bottom w:val="single" w:color="auto" w:sz="4" w:space="0"/>
              <w:right w:val="single" w:color="auto" w:sz="4" w:space="0"/>
            </w:tcBorders>
            <w:shd w:val="clear" w:color="auto" w:fill="auto"/>
            <w:vAlign w:val="center"/>
          </w:tcPr>
          <w:p w14:paraId="23FF5B8B">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远程异地评审服务中心：提供远程异地评审各项功能性服务；</w:t>
            </w:r>
          </w:p>
        </w:tc>
      </w:tr>
      <w:tr w14:paraId="592E8FDF">
        <w:tblPrEx>
          <w:tblCellMar>
            <w:top w:w="0" w:type="dxa"/>
            <w:left w:w="108" w:type="dxa"/>
            <w:bottom w:w="0" w:type="dxa"/>
            <w:right w:w="108" w:type="dxa"/>
          </w:tblCellMar>
        </w:tblPrEx>
        <w:trPr>
          <w:trHeight w:val="1000" w:hRule="atLeast"/>
        </w:trPr>
        <w:tc>
          <w:tcPr>
            <w:tcW w:w="404" w:type="pct"/>
            <w:vMerge w:val="continue"/>
            <w:tcBorders>
              <w:top w:val="nil"/>
              <w:left w:val="single" w:color="auto" w:sz="4" w:space="0"/>
              <w:bottom w:val="single" w:color="auto" w:sz="4" w:space="0"/>
              <w:right w:val="single" w:color="auto" w:sz="4" w:space="0"/>
            </w:tcBorders>
            <w:vAlign w:val="center"/>
          </w:tcPr>
          <w:p w14:paraId="2997170A">
            <w:pPr>
              <w:widowControl/>
              <w:spacing w:after="0" w:afterLines="0" w:line="240" w:lineRule="auto"/>
              <w:ind w:firstLine="0" w:firstLineChars="0"/>
              <w:jc w:val="left"/>
              <w:rPr>
                <w:rFonts w:ascii="宋体" w:hAnsi="宋体" w:cs="宋体"/>
                <w:color w:val="000000"/>
                <w:kern w:val="0"/>
                <w:sz w:val="24"/>
                <w:szCs w:val="24"/>
              </w:rPr>
            </w:pPr>
          </w:p>
        </w:tc>
        <w:tc>
          <w:tcPr>
            <w:tcW w:w="908" w:type="pct"/>
            <w:vMerge w:val="continue"/>
            <w:tcBorders>
              <w:top w:val="nil"/>
              <w:left w:val="single" w:color="auto" w:sz="4" w:space="0"/>
              <w:bottom w:val="single" w:color="auto" w:sz="4" w:space="0"/>
              <w:right w:val="single" w:color="auto" w:sz="4" w:space="0"/>
            </w:tcBorders>
            <w:vAlign w:val="center"/>
          </w:tcPr>
          <w:p w14:paraId="17C249C1">
            <w:pPr>
              <w:widowControl/>
              <w:spacing w:after="0" w:afterLines="0" w:line="240" w:lineRule="auto"/>
              <w:ind w:firstLine="0" w:firstLineChars="0"/>
              <w:jc w:val="left"/>
              <w:rPr>
                <w:rFonts w:ascii="宋体" w:hAnsi="宋体" w:cs="宋体"/>
                <w:b/>
                <w:bCs/>
                <w:color w:val="000000"/>
                <w:kern w:val="0"/>
                <w:sz w:val="24"/>
                <w:szCs w:val="24"/>
              </w:rPr>
            </w:pPr>
          </w:p>
        </w:tc>
        <w:tc>
          <w:tcPr>
            <w:tcW w:w="1247" w:type="pct"/>
            <w:vMerge w:val="continue"/>
            <w:tcBorders>
              <w:top w:val="nil"/>
              <w:left w:val="single" w:color="auto" w:sz="4" w:space="0"/>
              <w:bottom w:val="single" w:color="auto" w:sz="4" w:space="0"/>
              <w:right w:val="single" w:color="auto" w:sz="4" w:space="0"/>
            </w:tcBorders>
            <w:vAlign w:val="center"/>
          </w:tcPr>
          <w:p w14:paraId="49BDF342">
            <w:pPr>
              <w:widowControl/>
              <w:spacing w:after="0" w:afterLines="0" w:line="240" w:lineRule="auto"/>
              <w:ind w:firstLine="0" w:firstLineChars="0"/>
              <w:jc w:val="left"/>
              <w:rPr>
                <w:rFonts w:ascii="宋体" w:hAnsi="宋体" w:cs="宋体"/>
                <w:color w:val="000000"/>
                <w:kern w:val="0"/>
                <w:sz w:val="24"/>
                <w:szCs w:val="24"/>
              </w:rPr>
            </w:pPr>
          </w:p>
        </w:tc>
        <w:tc>
          <w:tcPr>
            <w:tcW w:w="2441" w:type="pct"/>
            <w:tcBorders>
              <w:top w:val="nil"/>
              <w:left w:val="nil"/>
              <w:bottom w:val="single" w:color="auto" w:sz="4" w:space="0"/>
              <w:right w:val="single" w:color="auto" w:sz="4" w:space="0"/>
            </w:tcBorders>
            <w:shd w:val="clear" w:color="auto" w:fill="auto"/>
            <w:vAlign w:val="center"/>
          </w:tcPr>
          <w:p w14:paraId="79303ED8">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专家资源共享和调度中心：完成异地专家抽取、通知、认证等调度工作；</w:t>
            </w:r>
          </w:p>
        </w:tc>
      </w:tr>
      <w:tr w14:paraId="79EC2A9A">
        <w:tblPrEx>
          <w:tblCellMar>
            <w:top w:w="0" w:type="dxa"/>
            <w:left w:w="108" w:type="dxa"/>
            <w:bottom w:w="0" w:type="dxa"/>
            <w:right w:w="108" w:type="dxa"/>
          </w:tblCellMar>
        </w:tblPrEx>
        <w:trPr>
          <w:trHeight w:val="1000" w:hRule="atLeast"/>
        </w:trPr>
        <w:tc>
          <w:tcPr>
            <w:tcW w:w="404" w:type="pct"/>
            <w:vMerge w:val="continue"/>
            <w:tcBorders>
              <w:top w:val="nil"/>
              <w:left w:val="single" w:color="auto" w:sz="4" w:space="0"/>
              <w:bottom w:val="single" w:color="auto" w:sz="4" w:space="0"/>
              <w:right w:val="single" w:color="auto" w:sz="4" w:space="0"/>
            </w:tcBorders>
            <w:vAlign w:val="center"/>
          </w:tcPr>
          <w:p w14:paraId="51418710">
            <w:pPr>
              <w:widowControl/>
              <w:spacing w:after="0" w:afterLines="0" w:line="240" w:lineRule="auto"/>
              <w:ind w:firstLine="0" w:firstLineChars="0"/>
              <w:jc w:val="left"/>
              <w:rPr>
                <w:rFonts w:ascii="宋体" w:hAnsi="宋体" w:cs="宋体"/>
                <w:color w:val="000000"/>
                <w:kern w:val="0"/>
                <w:sz w:val="24"/>
                <w:szCs w:val="24"/>
              </w:rPr>
            </w:pPr>
          </w:p>
        </w:tc>
        <w:tc>
          <w:tcPr>
            <w:tcW w:w="908" w:type="pct"/>
            <w:vMerge w:val="continue"/>
            <w:tcBorders>
              <w:top w:val="nil"/>
              <w:left w:val="single" w:color="auto" w:sz="4" w:space="0"/>
              <w:bottom w:val="single" w:color="auto" w:sz="4" w:space="0"/>
              <w:right w:val="single" w:color="auto" w:sz="4" w:space="0"/>
            </w:tcBorders>
            <w:vAlign w:val="center"/>
          </w:tcPr>
          <w:p w14:paraId="3B552B1A">
            <w:pPr>
              <w:widowControl/>
              <w:spacing w:after="0" w:afterLines="0" w:line="240" w:lineRule="auto"/>
              <w:ind w:firstLine="0" w:firstLineChars="0"/>
              <w:jc w:val="left"/>
              <w:rPr>
                <w:rFonts w:ascii="宋体" w:hAnsi="宋体" w:cs="宋体"/>
                <w:b/>
                <w:bCs/>
                <w:color w:val="000000"/>
                <w:kern w:val="0"/>
                <w:sz w:val="24"/>
                <w:szCs w:val="24"/>
              </w:rPr>
            </w:pPr>
          </w:p>
        </w:tc>
        <w:tc>
          <w:tcPr>
            <w:tcW w:w="1247" w:type="pct"/>
            <w:vMerge w:val="continue"/>
            <w:tcBorders>
              <w:top w:val="nil"/>
              <w:left w:val="single" w:color="auto" w:sz="4" w:space="0"/>
              <w:bottom w:val="single" w:color="auto" w:sz="4" w:space="0"/>
              <w:right w:val="single" w:color="auto" w:sz="4" w:space="0"/>
            </w:tcBorders>
            <w:vAlign w:val="center"/>
          </w:tcPr>
          <w:p w14:paraId="66B93BB8">
            <w:pPr>
              <w:widowControl/>
              <w:spacing w:after="0" w:afterLines="0" w:line="240" w:lineRule="auto"/>
              <w:ind w:firstLine="0" w:firstLineChars="0"/>
              <w:jc w:val="left"/>
              <w:rPr>
                <w:rFonts w:ascii="宋体" w:hAnsi="宋体" w:cs="宋体"/>
                <w:color w:val="000000"/>
                <w:kern w:val="0"/>
                <w:sz w:val="24"/>
                <w:szCs w:val="24"/>
              </w:rPr>
            </w:pPr>
          </w:p>
        </w:tc>
        <w:tc>
          <w:tcPr>
            <w:tcW w:w="2441" w:type="pct"/>
            <w:tcBorders>
              <w:top w:val="nil"/>
              <w:left w:val="nil"/>
              <w:bottom w:val="single" w:color="auto" w:sz="4" w:space="0"/>
              <w:right w:val="single" w:color="auto" w:sz="4" w:space="0"/>
            </w:tcBorders>
            <w:shd w:val="clear" w:color="auto" w:fill="auto"/>
            <w:vAlign w:val="center"/>
          </w:tcPr>
          <w:p w14:paraId="1BBDCF81">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场地资源共享和调度中心：对全省远程异地评审场地进行接入、展示、预约、使用等调度工作；</w:t>
            </w:r>
          </w:p>
        </w:tc>
      </w:tr>
      <w:tr w14:paraId="28FFBD3A">
        <w:tblPrEx>
          <w:tblCellMar>
            <w:top w:w="0" w:type="dxa"/>
            <w:left w:w="108" w:type="dxa"/>
            <w:bottom w:w="0" w:type="dxa"/>
            <w:right w:w="108" w:type="dxa"/>
          </w:tblCellMar>
        </w:tblPrEx>
        <w:trPr>
          <w:trHeight w:val="1000" w:hRule="atLeast"/>
        </w:trPr>
        <w:tc>
          <w:tcPr>
            <w:tcW w:w="404" w:type="pct"/>
            <w:vMerge w:val="continue"/>
            <w:tcBorders>
              <w:top w:val="nil"/>
              <w:left w:val="single" w:color="auto" w:sz="4" w:space="0"/>
              <w:bottom w:val="single" w:color="auto" w:sz="4" w:space="0"/>
              <w:right w:val="single" w:color="auto" w:sz="4" w:space="0"/>
            </w:tcBorders>
            <w:vAlign w:val="center"/>
          </w:tcPr>
          <w:p w14:paraId="626C4D15">
            <w:pPr>
              <w:widowControl/>
              <w:spacing w:after="0" w:afterLines="0" w:line="240" w:lineRule="auto"/>
              <w:ind w:firstLine="0" w:firstLineChars="0"/>
              <w:jc w:val="left"/>
              <w:rPr>
                <w:rFonts w:ascii="宋体" w:hAnsi="宋体" w:cs="宋体"/>
                <w:color w:val="000000"/>
                <w:kern w:val="0"/>
                <w:sz w:val="24"/>
                <w:szCs w:val="24"/>
              </w:rPr>
            </w:pPr>
          </w:p>
        </w:tc>
        <w:tc>
          <w:tcPr>
            <w:tcW w:w="908" w:type="pct"/>
            <w:vMerge w:val="continue"/>
            <w:tcBorders>
              <w:top w:val="nil"/>
              <w:left w:val="single" w:color="auto" w:sz="4" w:space="0"/>
              <w:bottom w:val="single" w:color="auto" w:sz="4" w:space="0"/>
              <w:right w:val="single" w:color="auto" w:sz="4" w:space="0"/>
            </w:tcBorders>
            <w:vAlign w:val="center"/>
          </w:tcPr>
          <w:p w14:paraId="7862DAF5">
            <w:pPr>
              <w:widowControl/>
              <w:spacing w:after="0" w:afterLines="0" w:line="240" w:lineRule="auto"/>
              <w:ind w:firstLine="0" w:firstLineChars="0"/>
              <w:jc w:val="left"/>
              <w:rPr>
                <w:rFonts w:ascii="宋体" w:hAnsi="宋体" w:cs="宋体"/>
                <w:b/>
                <w:bCs/>
                <w:color w:val="000000"/>
                <w:kern w:val="0"/>
                <w:sz w:val="24"/>
                <w:szCs w:val="24"/>
              </w:rPr>
            </w:pPr>
          </w:p>
        </w:tc>
        <w:tc>
          <w:tcPr>
            <w:tcW w:w="1247" w:type="pct"/>
            <w:vMerge w:val="continue"/>
            <w:tcBorders>
              <w:top w:val="nil"/>
              <w:left w:val="single" w:color="auto" w:sz="4" w:space="0"/>
              <w:bottom w:val="single" w:color="auto" w:sz="4" w:space="0"/>
              <w:right w:val="single" w:color="auto" w:sz="4" w:space="0"/>
            </w:tcBorders>
            <w:vAlign w:val="center"/>
          </w:tcPr>
          <w:p w14:paraId="6058E381">
            <w:pPr>
              <w:widowControl/>
              <w:spacing w:after="0" w:afterLines="0" w:line="240" w:lineRule="auto"/>
              <w:ind w:firstLine="0" w:firstLineChars="0"/>
              <w:jc w:val="left"/>
              <w:rPr>
                <w:rFonts w:ascii="宋体" w:hAnsi="宋体" w:cs="宋体"/>
                <w:color w:val="000000"/>
                <w:kern w:val="0"/>
                <w:sz w:val="24"/>
                <w:szCs w:val="24"/>
              </w:rPr>
            </w:pPr>
          </w:p>
        </w:tc>
        <w:tc>
          <w:tcPr>
            <w:tcW w:w="2441" w:type="pct"/>
            <w:tcBorders>
              <w:top w:val="nil"/>
              <w:left w:val="nil"/>
              <w:bottom w:val="single" w:color="auto" w:sz="4" w:space="0"/>
              <w:right w:val="single" w:color="auto" w:sz="4" w:space="0"/>
            </w:tcBorders>
            <w:shd w:val="clear" w:color="auto" w:fill="auto"/>
            <w:vAlign w:val="center"/>
          </w:tcPr>
          <w:p w14:paraId="56FE2AEF">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政府采购业务对接中心：对接政府采购交易系统，以政府采购项目为核心组织评审活动，支持七种政府采购方式；</w:t>
            </w:r>
          </w:p>
        </w:tc>
      </w:tr>
      <w:tr w14:paraId="394AE31A">
        <w:tblPrEx>
          <w:tblCellMar>
            <w:top w:w="0" w:type="dxa"/>
            <w:left w:w="108" w:type="dxa"/>
            <w:bottom w:w="0" w:type="dxa"/>
            <w:right w:w="108" w:type="dxa"/>
          </w:tblCellMar>
        </w:tblPrEx>
        <w:trPr>
          <w:trHeight w:val="1000" w:hRule="atLeast"/>
        </w:trPr>
        <w:tc>
          <w:tcPr>
            <w:tcW w:w="404" w:type="pct"/>
            <w:vMerge w:val="continue"/>
            <w:tcBorders>
              <w:top w:val="nil"/>
              <w:left w:val="single" w:color="auto" w:sz="4" w:space="0"/>
              <w:bottom w:val="single" w:color="auto" w:sz="4" w:space="0"/>
              <w:right w:val="single" w:color="auto" w:sz="4" w:space="0"/>
            </w:tcBorders>
            <w:vAlign w:val="center"/>
          </w:tcPr>
          <w:p w14:paraId="26BCC3C3">
            <w:pPr>
              <w:widowControl/>
              <w:spacing w:after="0" w:afterLines="0" w:line="240" w:lineRule="auto"/>
              <w:ind w:firstLine="0" w:firstLineChars="0"/>
              <w:jc w:val="left"/>
              <w:rPr>
                <w:rFonts w:ascii="宋体" w:hAnsi="宋体" w:cs="宋体"/>
                <w:color w:val="000000"/>
                <w:kern w:val="0"/>
                <w:sz w:val="24"/>
                <w:szCs w:val="24"/>
              </w:rPr>
            </w:pPr>
          </w:p>
        </w:tc>
        <w:tc>
          <w:tcPr>
            <w:tcW w:w="908" w:type="pct"/>
            <w:vMerge w:val="continue"/>
            <w:tcBorders>
              <w:top w:val="nil"/>
              <w:left w:val="single" w:color="auto" w:sz="4" w:space="0"/>
              <w:bottom w:val="single" w:color="auto" w:sz="4" w:space="0"/>
              <w:right w:val="single" w:color="auto" w:sz="4" w:space="0"/>
            </w:tcBorders>
            <w:vAlign w:val="center"/>
          </w:tcPr>
          <w:p w14:paraId="7C4218AD">
            <w:pPr>
              <w:widowControl/>
              <w:spacing w:after="0" w:afterLines="0" w:line="240" w:lineRule="auto"/>
              <w:ind w:firstLine="0" w:firstLineChars="0"/>
              <w:jc w:val="left"/>
              <w:rPr>
                <w:rFonts w:ascii="宋体" w:hAnsi="宋体" w:cs="宋体"/>
                <w:b/>
                <w:bCs/>
                <w:color w:val="000000"/>
                <w:kern w:val="0"/>
                <w:sz w:val="24"/>
                <w:szCs w:val="24"/>
              </w:rPr>
            </w:pPr>
          </w:p>
        </w:tc>
        <w:tc>
          <w:tcPr>
            <w:tcW w:w="1247" w:type="pct"/>
            <w:vMerge w:val="continue"/>
            <w:tcBorders>
              <w:top w:val="nil"/>
              <w:left w:val="single" w:color="auto" w:sz="4" w:space="0"/>
              <w:bottom w:val="single" w:color="auto" w:sz="4" w:space="0"/>
              <w:right w:val="single" w:color="auto" w:sz="4" w:space="0"/>
            </w:tcBorders>
            <w:vAlign w:val="center"/>
          </w:tcPr>
          <w:p w14:paraId="394E8CD9">
            <w:pPr>
              <w:widowControl/>
              <w:spacing w:after="0" w:afterLines="0" w:line="240" w:lineRule="auto"/>
              <w:ind w:firstLine="0" w:firstLineChars="0"/>
              <w:jc w:val="left"/>
              <w:rPr>
                <w:rFonts w:ascii="宋体" w:hAnsi="宋体" w:cs="宋体"/>
                <w:color w:val="000000"/>
                <w:kern w:val="0"/>
                <w:sz w:val="24"/>
                <w:szCs w:val="24"/>
              </w:rPr>
            </w:pPr>
          </w:p>
        </w:tc>
        <w:tc>
          <w:tcPr>
            <w:tcW w:w="2441" w:type="pct"/>
            <w:tcBorders>
              <w:top w:val="nil"/>
              <w:left w:val="nil"/>
              <w:bottom w:val="single" w:color="auto" w:sz="4" w:space="0"/>
              <w:right w:val="single" w:color="auto" w:sz="4" w:space="0"/>
            </w:tcBorders>
            <w:shd w:val="clear" w:color="auto" w:fill="auto"/>
            <w:vAlign w:val="center"/>
          </w:tcPr>
          <w:p w14:paraId="519A02ED">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视频会议调度中心：对远程异地评审视频会议的安全接入、传输、认证、交互等进行统一调度；</w:t>
            </w:r>
          </w:p>
        </w:tc>
      </w:tr>
      <w:tr w14:paraId="0839E0EE">
        <w:tblPrEx>
          <w:tblCellMar>
            <w:top w:w="0" w:type="dxa"/>
            <w:left w:w="108" w:type="dxa"/>
            <w:bottom w:w="0" w:type="dxa"/>
            <w:right w:w="108" w:type="dxa"/>
          </w:tblCellMar>
        </w:tblPrEx>
        <w:trPr>
          <w:trHeight w:val="1000" w:hRule="atLeast"/>
        </w:trPr>
        <w:tc>
          <w:tcPr>
            <w:tcW w:w="404" w:type="pct"/>
            <w:vMerge w:val="continue"/>
            <w:tcBorders>
              <w:top w:val="nil"/>
              <w:left w:val="single" w:color="auto" w:sz="4" w:space="0"/>
              <w:bottom w:val="single" w:color="auto" w:sz="4" w:space="0"/>
              <w:right w:val="single" w:color="auto" w:sz="4" w:space="0"/>
            </w:tcBorders>
            <w:vAlign w:val="center"/>
          </w:tcPr>
          <w:p w14:paraId="6CA941A3">
            <w:pPr>
              <w:widowControl/>
              <w:spacing w:after="0" w:afterLines="0" w:line="240" w:lineRule="auto"/>
              <w:ind w:firstLine="0" w:firstLineChars="0"/>
              <w:jc w:val="left"/>
              <w:rPr>
                <w:rFonts w:ascii="宋体" w:hAnsi="宋体" w:cs="宋体"/>
                <w:color w:val="000000"/>
                <w:kern w:val="0"/>
                <w:sz w:val="24"/>
                <w:szCs w:val="24"/>
              </w:rPr>
            </w:pPr>
          </w:p>
        </w:tc>
        <w:tc>
          <w:tcPr>
            <w:tcW w:w="908" w:type="pct"/>
            <w:vMerge w:val="continue"/>
            <w:tcBorders>
              <w:top w:val="nil"/>
              <w:left w:val="single" w:color="auto" w:sz="4" w:space="0"/>
              <w:bottom w:val="single" w:color="auto" w:sz="4" w:space="0"/>
              <w:right w:val="single" w:color="auto" w:sz="4" w:space="0"/>
            </w:tcBorders>
            <w:vAlign w:val="center"/>
          </w:tcPr>
          <w:p w14:paraId="3A109C40">
            <w:pPr>
              <w:widowControl/>
              <w:spacing w:after="0" w:afterLines="0" w:line="240" w:lineRule="auto"/>
              <w:ind w:firstLine="0" w:firstLineChars="0"/>
              <w:jc w:val="left"/>
              <w:rPr>
                <w:rFonts w:ascii="宋体" w:hAnsi="宋体" w:cs="宋体"/>
                <w:b/>
                <w:bCs/>
                <w:color w:val="000000"/>
                <w:kern w:val="0"/>
                <w:sz w:val="24"/>
                <w:szCs w:val="24"/>
              </w:rPr>
            </w:pPr>
          </w:p>
        </w:tc>
        <w:tc>
          <w:tcPr>
            <w:tcW w:w="1247" w:type="pct"/>
            <w:vMerge w:val="continue"/>
            <w:tcBorders>
              <w:top w:val="nil"/>
              <w:left w:val="single" w:color="auto" w:sz="4" w:space="0"/>
              <w:bottom w:val="single" w:color="auto" w:sz="4" w:space="0"/>
              <w:right w:val="single" w:color="auto" w:sz="4" w:space="0"/>
            </w:tcBorders>
            <w:vAlign w:val="center"/>
          </w:tcPr>
          <w:p w14:paraId="3E8D85BC">
            <w:pPr>
              <w:widowControl/>
              <w:spacing w:after="0" w:afterLines="0" w:line="240" w:lineRule="auto"/>
              <w:ind w:firstLine="0" w:firstLineChars="0"/>
              <w:jc w:val="left"/>
              <w:rPr>
                <w:rFonts w:ascii="宋体" w:hAnsi="宋体" w:cs="宋体"/>
                <w:color w:val="000000"/>
                <w:kern w:val="0"/>
                <w:sz w:val="24"/>
                <w:szCs w:val="24"/>
              </w:rPr>
            </w:pPr>
          </w:p>
        </w:tc>
        <w:tc>
          <w:tcPr>
            <w:tcW w:w="2441" w:type="pct"/>
            <w:tcBorders>
              <w:top w:val="nil"/>
              <w:left w:val="nil"/>
              <w:bottom w:val="single" w:color="auto" w:sz="4" w:space="0"/>
              <w:right w:val="single" w:color="auto" w:sz="4" w:space="0"/>
            </w:tcBorders>
            <w:shd w:val="clear" w:color="auto" w:fill="auto"/>
            <w:vAlign w:val="center"/>
          </w:tcPr>
          <w:p w14:paraId="78007C2B">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见证监督调度中心：对场地监控、行为监控、视频会议、屏幕录屏等进行四位一体见证监督；</w:t>
            </w:r>
          </w:p>
        </w:tc>
      </w:tr>
      <w:tr w14:paraId="451FF8F4">
        <w:tblPrEx>
          <w:tblCellMar>
            <w:top w:w="0" w:type="dxa"/>
            <w:left w:w="108" w:type="dxa"/>
            <w:bottom w:w="0" w:type="dxa"/>
            <w:right w:w="108" w:type="dxa"/>
          </w:tblCellMar>
        </w:tblPrEx>
        <w:trPr>
          <w:trHeight w:val="1000" w:hRule="atLeast"/>
        </w:trPr>
        <w:tc>
          <w:tcPr>
            <w:tcW w:w="404" w:type="pct"/>
            <w:vMerge w:val="continue"/>
            <w:tcBorders>
              <w:top w:val="nil"/>
              <w:left w:val="single" w:color="auto" w:sz="4" w:space="0"/>
              <w:bottom w:val="single" w:color="auto" w:sz="4" w:space="0"/>
              <w:right w:val="single" w:color="auto" w:sz="4" w:space="0"/>
            </w:tcBorders>
            <w:vAlign w:val="center"/>
          </w:tcPr>
          <w:p w14:paraId="2BF0E14D">
            <w:pPr>
              <w:widowControl/>
              <w:spacing w:after="0" w:afterLines="0" w:line="240" w:lineRule="auto"/>
              <w:ind w:firstLine="0" w:firstLineChars="0"/>
              <w:jc w:val="left"/>
              <w:rPr>
                <w:rFonts w:ascii="宋体" w:hAnsi="宋体" w:cs="宋体"/>
                <w:color w:val="000000"/>
                <w:kern w:val="0"/>
                <w:sz w:val="24"/>
                <w:szCs w:val="24"/>
              </w:rPr>
            </w:pPr>
          </w:p>
        </w:tc>
        <w:tc>
          <w:tcPr>
            <w:tcW w:w="908" w:type="pct"/>
            <w:vMerge w:val="continue"/>
            <w:tcBorders>
              <w:top w:val="nil"/>
              <w:left w:val="single" w:color="auto" w:sz="4" w:space="0"/>
              <w:bottom w:val="single" w:color="auto" w:sz="4" w:space="0"/>
              <w:right w:val="single" w:color="auto" w:sz="4" w:space="0"/>
            </w:tcBorders>
            <w:vAlign w:val="center"/>
          </w:tcPr>
          <w:p w14:paraId="737DE346">
            <w:pPr>
              <w:widowControl/>
              <w:spacing w:after="0" w:afterLines="0" w:line="240" w:lineRule="auto"/>
              <w:ind w:firstLine="0" w:firstLineChars="0"/>
              <w:jc w:val="left"/>
              <w:rPr>
                <w:rFonts w:ascii="宋体" w:hAnsi="宋体" w:cs="宋体"/>
                <w:b/>
                <w:bCs/>
                <w:color w:val="000000"/>
                <w:kern w:val="0"/>
                <w:sz w:val="24"/>
                <w:szCs w:val="24"/>
              </w:rPr>
            </w:pPr>
          </w:p>
        </w:tc>
        <w:tc>
          <w:tcPr>
            <w:tcW w:w="1247" w:type="pct"/>
            <w:vMerge w:val="continue"/>
            <w:tcBorders>
              <w:top w:val="nil"/>
              <w:left w:val="single" w:color="auto" w:sz="4" w:space="0"/>
              <w:bottom w:val="single" w:color="auto" w:sz="4" w:space="0"/>
              <w:right w:val="single" w:color="auto" w:sz="4" w:space="0"/>
            </w:tcBorders>
            <w:vAlign w:val="center"/>
          </w:tcPr>
          <w:p w14:paraId="1E8B6556">
            <w:pPr>
              <w:widowControl/>
              <w:spacing w:after="0" w:afterLines="0" w:line="240" w:lineRule="auto"/>
              <w:ind w:firstLine="0" w:firstLineChars="0"/>
              <w:jc w:val="left"/>
              <w:rPr>
                <w:rFonts w:ascii="宋体" w:hAnsi="宋体" w:cs="宋体"/>
                <w:color w:val="000000"/>
                <w:kern w:val="0"/>
                <w:sz w:val="24"/>
                <w:szCs w:val="24"/>
              </w:rPr>
            </w:pPr>
          </w:p>
        </w:tc>
        <w:tc>
          <w:tcPr>
            <w:tcW w:w="2441" w:type="pct"/>
            <w:tcBorders>
              <w:top w:val="nil"/>
              <w:left w:val="nil"/>
              <w:bottom w:val="single" w:color="auto" w:sz="4" w:space="0"/>
              <w:right w:val="single" w:color="auto" w:sz="4" w:space="0"/>
            </w:tcBorders>
            <w:shd w:val="clear" w:color="auto" w:fill="auto"/>
            <w:vAlign w:val="center"/>
          </w:tcPr>
          <w:p w14:paraId="76279EA6">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归档及存储调度中心：对主副会场的音视频文件进行统一归档与存储；</w:t>
            </w:r>
          </w:p>
        </w:tc>
      </w:tr>
      <w:tr w14:paraId="228F6B7F">
        <w:tblPrEx>
          <w:tblCellMar>
            <w:top w:w="0" w:type="dxa"/>
            <w:left w:w="108" w:type="dxa"/>
            <w:bottom w:w="0" w:type="dxa"/>
            <w:right w:w="108" w:type="dxa"/>
          </w:tblCellMar>
        </w:tblPrEx>
        <w:trPr>
          <w:trHeight w:val="1000" w:hRule="atLeast"/>
        </w:trPr>
        <w:tc>
          <w:tcPr>
            <w:tcW w:w="404" w:type="pct"/>
            <w:vMerge w:val="continue"/>
            <w:tcBorders>
              <w:top w:val="nil"/>
              <w:left w:val="single" w:color="auto" w:sz="4" w:space="0"/>
              <w:bottom w:val="single" w:color="auto" w:sz="4" w:space="0"/>
              <w:right w:val="single" w:color="auto" w:sz="4" w:space="0"/>
            </w:tcBorders>
            <w:vAlign w:val="center"/>
          </w:tcPr>
          <w:p w14:paraId="28BD00D2">
            <w:pPr>
              <w:widowControl/>
              <w:spacing w:after="0" w:afterLines="0" w:line="240" w:lineRule="auto"/>
              <w:ind w:firstLine="0" w:firstLineChars="0"/>
              <w:jc w:val="left"/>
              <w:rPr>
                <w:rFonts w:ascii="宋体" w:hAnsi="宋体" w:cs="宋体"/>
                <w:color w:val="000000"/>
                <w:kern w:val="0"/>
                <w:sz w:val="24"/>
                <w:szCs w:val="24"/>
              </w:rPr>
            </w:pPr>
          </w:p>
        </w:tc>
        <w:tc>
          <w:tcPr>
            <w:tcW w:w="908" w:type="pct"/>
            <w:vMerge w:val="continue"/>
            <w:tcBorders>
              <w:top w:val="nil"/>
              <w:left w:val="single" w:color="auto" w:sz="4" w:space="0"/>
              <w:bottom w:val="single" w:color="auto" w:sz="4" w:space="0"/>
              <w:right w:val="single" w:color="auto" w:sz="4" w:space="0"/>
            </w:tcBorders>
            <w:vAlign w:val="center"/>
          </w:tcPr>
          <w:p w14:paraId="416DB52C">
            <w:pPr>
              <w:widowControl/>
              <w:spacing w:after="0" w:afterLines="0" w:line="240" w:lineRule="auto"/>
              <w:ind w:firstLine="0" w:firstLineChars="0"/>
              <w:jc w:val="left"/>
              <w:rPr>
                <w:rFonts w:ascii="宋体" w:hAnsi="宋体" w:cs="宋体"/>
                <w:b/>
                <w:bCs/>
                <w:color w:val="000000"/>
                <w:kern w:val="0"/>
                <w:sz w:val="24"/>
                <w:szCs w:val="24"/>
              </w:rPr>
            </w:pPr>
          </w:p>
        </w:tc>
        <w:tc>
          <w:tcPr>
            <w:tcW w:w="1247" w:type="pct"/>
            <w:vMerge w:val="continue"/>
            <w:tcBorders>
              <w:top w:val="nil"/>
              <w:left w:val="single" w:color="auto" w:sz="4" w:space="0"/>
              <w:bottom w:val="single" w:color="auto" w:sz="4" w:space="0"/>
              <w:right w:val="single" w:color="auto" w:sz="4" w:space="0"/>
            </w:tcBorders>
            <w:vAlign w:val="center"/>
          </w:tcPr>
          <w:p w14:paraId="17E6C095">
            <w:pPr>
              <w:widowControl/>
              <w:spacing w:after="0" w:afterLines="0" w:line="240" w:lineRule="auto"/>
              <w:ind w:firstLine="0" w:firstLineChars="0"/>
              <w:jc w:val="left"/>
              <w:rPr>
                <w:rFonts w:ascii="宋体" w:hAnsi="宋体" w:cs="宋体"/>
                <w:color w:val="000000"/>
                <w:kern w:val="0"/>
                <w:sz w:val="24"/>
                <w:szCs w:val="24"/>
              </w:rPr>
            </w:pPr>
          </w:p>
        </w:tc>
        <w:tc>
          <w:tcPr>
            <w:tcW w:w="2441" w:type="pct"/>
            <w:tcBorders>
              <w:top w:val="nil"/>
              <w:left w:val="nil"/>
              <w:bottom w:val="single" w:color="auto" w:sz="4" w:space="0"/>
              <w:right w:val="single" w:color="auto" w:sz="4" w:space="0"/>
            </w:tcBorders>
            <w:shd w:val="clear" w:color="auto" w:fill="auto"/>
            <w:vAlign w:val="center"/>
          </w:tcPr>
          <w:p w14:paraId="61703393">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统一用户及授权中心：对接政府采购交易系统，对接评审场地认证系统，完成统一用户授权。</w:t>
            </w:r>
          </w:p>
        </w:tc>
      </w:tr>
      <w:tr w14:paraId="59AD68CD">
        <w:tblPrEx>
          <w:tblCellMar>
            <w:top w:w="0" w:type="dxa"/>
            <w:left w:w="108" w:type="dxa"/>
            <w:bottom w:w="0" w:type="dxa"/>
            <w:right w:w="108" w:type="dxa"/>
          </w:tblCellMar>
        </w:tblPrEx>
        <w:trPr>
          <w:trHeight w:val="500" w:hRule="atLeast"/>
        </w:trPr>
        <w:tc>
          <w:tcPr>
            <w:tcW w:w="404" w:type="pct"/>
            <w:vMerge w:val="restart"/>
            <w:tcBorders>
              <w:top w:val="nil"/>
              <w:left w:val="single" w:color="auto" w:sz="4" w:space="0"/>
              <w:bottom w:val="single" w:color="auto" w:sz="4" w:space="0"/>
              <w:right w:val="single" w:color="auto" w:sz="4" w:space="0"/>
            </w:tcBorders>
            <w:shd w:val="clear" w:color="auto" w:fill="auto"/>
            <w:noWrap/>
            <w:vAlign w:val="center"/>
          </w:tcPr>
          <w:p w14:paraId="0F9F0831">
            <w:pPr>
              <w:widowControl/>
              <w:spacing w:after="0" w:afterLines="0" w:line="240" w:lineRule="auto"/>
              <w:ind w:firstLine="0" w:firstLineChars="0"/>
              <w:jc w:val="center"/>
              <w:rPr>
                <w:rFonts w:ascii="宋体" w:hAnsi="宋体" w:cs="宋体"/>
                <w:color w:val="000000"/>
                <w:kern w:val="0"/>
                <w:sz w:val="24"/>
              </w:rPr>
            </w:pPr>
            <w:r>
              <w:rPr>
                <w:rFonts w:hint="eastAsia" w:ascii="宋体" w:hAnsi="宋体" w:cs="宋体"/>
                <w:color w:val="000000"/>
                <w:kern w:val="0"/>
                <w:sz w:val="24"/>
              </w:rPr>
              <w:t>2</w:t>
            </w:r>
          </w:p>
        </w:tc>
        <w:tc>
          <w:tcPr>
            <w:tcW w:w="908" w:type="pct"/>
            <w:vMerge w:val="restart"/>
            <w:tcBorders>
              <w:top w:val="nil"/>
              <w:left w:val="single" w:color="auto" w:sz="4" w:space="0"/>
              <w:bottom w:val="single" w:color="auto" w:sz="4" w:space="0"/>
              <w:right w:val="single" w:color="auto" w:sz="4" w:space="0"/>
            </w:tcBorders>
            <w:shd w:val="clear" w:color="auto" w:fill="auto"/>
            <w:noWrap/>
            <w:vAlign w:val="center"/>
          </w:tcPr>
          <w:p w14:paraId="6A710416">
            <w:pPr>
              <w:widowControl/>
              <w:spacing w:after="0" w:afterLines="0" w:line="240" w:lineRule="auto"/>
              <w:ind w:firstLine="0" w:firstLineChars="0"/>
              <w:jc w:val="center"/>
              <w:rPr>
                <w:rFonts w:ascii="宋体" w:hAnsi="宋体" w:cs="宋体"/>
                <w:color w:val="000000"/>
                <w:kern w:val="0"/>
                <w:sz w:val="24"/>
              </w:rPr>
            </w:pPr>
            <w:r>
              <w:rPr>
                <w:rFonts w:hint="eastAsia" w:ascii="宋体" w:hAnsi="宋体" w:cs="宋体"/>
                <w:color w:val="000000"/>
                <w:kern w:val="0"/>
                <w:sz w:val="24"/>
              </w:rPr>
              <w:t>视频会议系统</w:t>
            </w:r>
          </w:p>
        </w:tc>
        <w:tc>
          <w:tcPr>
            <w:tcW w:w="1247" w:type="pct"/>
            <w:vMerge w:val="restart"/>
            <w:tcBorders>
              <w:top w:val="nil"/>
              <w:left w:val="single" w:color="auto" w:sz="4" w:space="0"/>
              <w:bottom w:val="single" w:color="auto" w:sz="4" w:space="0"/>
              <w:right w:val="single" w:color="auto" w:sz="4" w:space="0"/>
            </w:tcBorders>
            <w:shd w:val="clear" w:color="auto" w:fill="auto"/>
            <w:vAlign w:val="center"/>
          </w:tcPr>
          <w:p w14:paraId="3F443CCB">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提供远程视频会议系统，读取云平台提供的标准数据接口，为评审专家、供应商、远程异地评审系统建设单位提供远程评审时所需要的音视频、文字交流功能。</w:t>
            </w:r>
          </w:p>
        </w:tc>
        <w:tc>
          <w:tcPr>
            <w:tcW w:w="2441" w:type="pct"/>
            <w:vMerge w:val="restart"/>
            <w:tcBorders>
              <w:top w:val="nil"/>
              <w:left w:val="single" w:color="auto" w:sz="4" w:space="0"/>
              <w:bottom w:val="single" w:color="auto" w:sz="4" w:space="0"/>
              <w:right w:val="single" w:color="auto" w:sz="4" w:space="0"/>
            </w:tcBorders>
            <w:shd w:val="clear" w:color="auto" w:fill="auto"/>
            <w:vAlign w:val="center"/>
          </w:tcPr>
          <w:p w14:paraId="0DAF7516">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1、支持最多300方同时参会，多方音视频互动服务；</w:t>
            </w:r>
          </w:p>
        </w:tc>
      </w:tr>
      <w:tr w14:paraId="420896FE">
        <w:tblPrEx>
          <w:tblCellMar>
            <w:top w:w="0" w:type="dxa"/>
            <w:left w:w="108" w:type="dxa"/>
            <w:bottom w:w="0" w:type="dxa"/>
            <w:right w:w="108" w:type="dxa"/>
          </w:tblCellMar>
        </w:tblPrEx>
        <w:trPr>
          <w:trHeight w:val="500" w:hRule="atLeast"/>
        </w:trPr>
        <w:tc>
          <w:tcPr>
            <w:tcW w:w="404" w:type="pct"/>
            <w:vMerge w:val="continue"/>
            <w:tcBorders>
              <w:top w:val="nil"/>
              <w:left w:val="single" w:color="auto" w:sz="4" w:space="0"/>
              <w:bottom w:val="single" w:color="auto" w:sz="4" w:space="0"/>
              <w:right w:val="single" w:color="auto" w:sz="4" w:space="0"/>
            </w:tcBorders>
            <w:vAlign w:val="center"/>
          </w:tcPr>
          <w:p w14:paraId="051C0CEE">
            <w:pPr>
              <w:widowControl/>
              <w:spacing w:after="0" w:afterLines="0" w:line="240" w:lineRule="auto"/>
              <w:ind w:firstLine="0" w:firstLineChars="0"/>
              <w:jc w:val="left"/>
              <w:rPr>
                <w:rFonts w:ascii="宋体" w:hAnsi="宋体" w:cs="宋体"/>
                <w:color w:val="000000"/>
                <w:kern w:val="0"/>
                <w:sz w:val="24"/>
              </w:rPr>
            </w:pPr>
          </w:p>
        </w:tc>
        <w:tc>
          <w:tcPr>
            <w:tcW w:w="908" w:type="pct"/>
            <w:vMerge w:val="continue"/>
            <w:tcBorders>
              <w:top w:val="nil"/>
              <w:left w:val="single" w:color="auto" w:sz="4" w:space="0"/>
              <w:bottom w:val="single" w:color="auto" w:sz="4" w:space="0"/>
              <w:right w:val="single" w:color="auto" w:sz="4" w:space="0"/>
            </w:tcBorders>
            <w:vAlign w:val="center"/>
          </w:tcPr>
          <w:p w14:paraId="280B8358">
            <w:pPr>
              <w:widowControl/>
              <w:spacing w:after="0" w:afterLines="0" w:line="240" w:lineRule="auto"/>
              <w:ind w:firstLine="0" w:firstLineChars="0"/>
              <w:jc w:val="left"/>
              <w:rPr>
                <w:rFonts w:ascii="宋体" w:hAnsi="宋体" w:cs="宋体"/>
                <w:color w:val="000000"/>
                <w:kern w:val="0"/>
                <w:sz w:val="24"/>
              </w:rPr>
            </w:pPr>
          </w:p>
        </w:tc>
        <w:tc>
          <w:tcPr>
            <w:tcW w:w="1247" w:type="pct"/>
            <w:vMerge w:val="continue"/>
            <w:tcBorders>
              <w:top w:val="nil"/>
              <w:left w:val="single" w:color="auto" w:sz="4" w:space="0"/>
              <w:bottom w:val="single" w:color="auto" w:sz="4" w:space="0"/>
              <w:right w:val="single" w:color="auto" w:sz="4" w:space="0"/>
            </w:tcBorders>
            <w:vAlign w:val="center"/>
          </w:tcPr>
          <w:p w14:paraId="3AC41FEE">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continue"/>
            <w:tcBorders>
              <w:top w:val="nil"/>
              <w:left w:val="single" w:color="auto" w:sz="4" w:space="0"/>
              <w:bottom w:val="single" w:color="auto" w:sz="4" w:space="0"/>
              <w:right w:val="single" w:color="auto" w:sz="4" w:space="0"/>
            </w:tcBorders>
            <w:vAlign w:val="center"/>
          </w:tcPr>
          <w:p w14:paraId="6B3CF628">
            <w:pPr>
              <w:widowControl/>
              <w:spacing w:after="0" w:afterLines="0" w:line="240" w:lineRule="auto"/>
              <w:ind w:firstLine="0" w:firstLineChars="0"/>
              <w:jc w:val="left"/>
              <w:rPr>
                <w:rFonts w:ascii="宋体" w:hAnsi="宋体" w:cs="宋体"/>
                <w:color w:val="000000"/>
                <w:kern w:val="0"/>
                <w:sz w:val="24"/>
                <w:szCs w:val="24"/>
              </w:rPr>
            </w:pPr>
          </w:p>
        </w:tc>
      </w:tr>
      <w:tr w14:paraId="109DA5BD">
        <w:tblPrEx>
          <w:tblCellMar>
            <w:top w:w="0" w:type="dxa"/>
            <w:left w:w="108" w:type="dxa"/>
            <w:bottom w:w="0" w:type="dxa"/>
            <w:right w:w="108" w:type="dxa"/>
          </w:tblCellMar>
        </w:tblPrEx>
        <w:trPr>
          <w:trHeight w:val="500" w:hRule="atLeast"/>
        </w:trPr>
        <w:tc>
          <w:tcPr>
            <w:tcW w:w="404" w:type="pct"/>
            <w:vMerge w:val="continue"/>
            <w:tcBorders>
              <w:top w:val="nil"/>
              <w:left w:val="single" w:color="auto" w:sz="4" w:space="0"/>
              <w:bottom w:val="single" w:color="auto" w:sz="4" w:space="0"/>
              <w:right w:val="single" w:color="auto" w:sz="4" w:space="0"/>
            </w:tcBorders>
            <w:vAlign w:val="center"/>
          </w:tcPr>
          <w:p w14:paraId="5D5EF5FE">
            <w:pPr>
              <w:widowControl/>
              <w:spacing w:after="0" w:afterLines="0" w:line="240" w:lineRule="auto"/>
              <w:ind w:firstLine="0" w:firstLineChars="0"/>
              <w:jc w:val="left"/>
              <w:rPr>
                <w:rFonts w:ascii="宋体" w:hAnsi="宋体" w:cs="宋体"/>
                <w:color w:val="000000"/>
                <w:kern w:val="0"/>
                <w:sz w:val="24"/>
              </w:rPr>
            </w:pPr>
          </w:p>
        </w:tc>
        <w:tc>
          <w:tcPr>
            <w:tcW w:w="908" w:type="pct"/>
            <w:vMerge w:val="continue"/>
            <w:tcBorders>
              <w:top w:val="nil"/>
              <w:left w:val="single" w:color="auto" w:sz="4" w:space="0"/>
              <w:bottom w:val="single" w:color="auto" w:sz="4" w:space="0"/>
              <w:right w:val="single" w:color="auto" w:sz="4" w:space="0"/>
            </w:tcBorders>
            <w:vAlign w:val="center"/>
          </w:tcPr>
          <w:p w14:paraId="36B05876">
            <w:pPr>
              <w:widowControl/>
              <w:spacing w:after="0" w:afterLines="0" w:line="240" w:lineRule="auto"/>
              <w:ind w:firstLine="0" w:firstLineChars="0"/>
              <w:jc w:val="left"/>
              <w:rPr>
                <w:rFonts w:ascii="宋体" w:hAnsi="宋体" w:cs="宋体"/>
                <w:color w:val="000000"/>
                <w:kern w:val="0"/>
                <w:sz w:val="24"/>
              </w:rPr>
            </w:pPr>
          </w:p>
        </w:tc>
        <w:tc>
          <w:tcPr>
            <w:tcW w:w="1247" w:type="pct"/>
            <w:vMerge w:val="continue"/>
            <w:tcBorders>
              <w:top w:val="nil"/>
              <w:left w:val="single" w:color="auto" w:sz="4" w:space="0"/>
              <w:bottom w:val="single" w:color="auto" w:sz="4" w:space="0"/>
              <w:right w:val="single" w:color="auto" w:sz="4" w:space="0"/>
            </w:tcBorders>
            <w:vAlign w:val="center"/>
          </w:tcPr>
          <w:p w14:paraId="0C25B1F2">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restart"/>
            <w:tcBorders>
              <w:top w:val="nil"/>
              <w:left w:val="single" w:color="auto" w:sz="4" w:space="0"/>
              <w:bottom w:val="single" w:color="auto" w:sz="4" w:space="0"/>
              <w:right w:val="single" w:color="auto" w:sz="4" w:space="0"/>
            </w:tcBorders>
            <w:shd w:val="clear" w:color="auto" w:fill="auto"/>
            <w:vAlign w:val="center"/>
          </w:tcPr>
          <w:p w14:paraId="55E56B33">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2、不限会议室数量；</w:t>
            </w:r>
          </w:p>
        </w:tc>
      </w:tr>
      <w:tr w14:paraId="15A8F568">
        <w:tblPrEx>
          <w:tblCellMar>
            <w:top w:w="0" w:type="dxa"/>
            <w:left w:w="108" w:type="dxa"/>
            <w:bottom w:w="0" w:type="dxa"/>
            <w:right w:w="108" w:type="dxa"/>
          </w:tblCellMar>
        </w:tblPrEx>
        <w:trPr>
          <w:trHeight w:val="500" w:hRule="atLeast"/>
        </w:trPr>
        <w:tc>
          <w:tcPr>
            <w:tcW w:w="404" w:type="pct"/>
            <w:vMerge w:val="continue"/>
            <w:tcBorders>
              <w:top w:val="nil"/>
              <w:left w:val="single" w:color="auto" w:sz="4" w:space="0"/>
              <w:bottom w:val="single" w:color="auto" w:sz="4" w:space="0"/>
              <w:right w:val="single" w:color="auto" w:sz="4" w:space="0"/>
            </w:tcBorders>
            <w:vAlign w:val="center"/>
          </w:tcPr>
          <w:p w14:paraId="7602696D">
            <w:pPr>
              <w:widowControl/>
              <w:spacing w:after="0" w:afterLines="0" w:line="240" w:lineRule="auto"/>
              <w:ind w:firstLine="0" w:firstLineChars="0"/>
              <w:jc w:val="left"/>
              <w:rPr>
                <w:rFonts w:ascii="宋体" w:hAnsi="宋体" w:cs="宋体"/>
                <w:color w:val="000000"/>
                <w:kern w:val="0"/>
                <w:sz w:val="24"/>
              </w:rPr>
            </w:pPr>
          </w:p>
        </w:tc>
        <w:tc>
          <w:tcPr>
            <w:tcW w:w="908" w:type="pct"/>
            <w:vMerge w:val="continue"/>
            <w:tcBorders>
              <w:top w:val="nil"/>
              <w:left w:val="single" w:color="auto" w:sz="4" w:space="0"/>
              <w:bottom w:val="single" w:color="auto" w:sz="4" w:space="0"/>
              <w:right w:val="single" w:color="auto" w:sz="4" w:space="0"/>
            </w:tcBorders>
            <w:vAlign w:val="center"/>
          </w:tcPr>
          <w:p w14:paraId="33495181">
            <w:pPr>
              <w:widowControl/>
              <w:spacing w:after="0" w:afterLines="0" w:line="240" w:lineRule="auto"/>
              <w:ind w:firstLine="0" w:firstLineChars="0"/>
              <w:jc w:val="left"/>
              <w:rPr>
                <w:rFonts w:ascii="宋体" w:hAnsi="宋体" w:cs="宋体"/>
                <w:color w:val="000000"/>
                <w:kern w:val="0"/>
                <w:sz w:val="24"/>
              </w:rPr>
            </w:pPr>
          </w:p>
        </w:tc>
        <w:tc>
          <w:tcPr>
            <w:tcW w:w="1247" w:type="pct"/>
            <w:vMerge w:val="continue"/>
            <w:tcBorders>
              <w:top w:val="nil"/>
              <w:left w:val="single" w:color="auto" w:sz="4" w:space="0"/>
              <w:bottom w:val="single" w:color="auto" w:sz="4" w:space="0"/>
              <w:right w:val="single" w:color="auto" w:sz="4" w:space="0"/>
            </w:tcBorders>
            <w:vAlign w:val="center"/>
          </w:tcPr>
          <w:p w14:paraId="23C03E4B">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continue"/>
            <w:tcBorders>
              <w:top w:val="nil"/>
              <w:left w:val="single" w:color="auto" w:sz="4" w:space="0"/>
              <w:bottom w:val="single" w:color="auto" w:sz="4" w:space="0"/>
              <w:right w:val="single" w:color="auto" w:sz="4" w:space="0"/>
            </w:tcBorders>
            <w:vAlign w:val="center"/>
          </w:tcPr>
          <w:p w14:paraId="4F8C6460">
            <w:pPr>
              <w:widowControl/>
              <w:spacing w:after="0" w:afterLines="0" w:line="240" w:lineRule="auto"/>
              <w:ind w:firstLine="0" w:firstLineChars="0"/>
              <w:jc w:val="left"/>
              <w:rPr>
                <w:rFonts w:ascii="宋体" w:hAnsi="宋体" w:cs="宋体"/>
                <w:color w:val="000000"/>
                <w:kern w:val="0"/>
                <w:sz w:val="24"/>
                <w:szCs w:val="24"/>
              </w:rPr>
            </w:pPr>
          </w:p>
        </w:tc>
      </w:tr>
      <w:tr w14:paraId="7D390D9F">
        <w:tblPrEx>
          <w:tblCellMar>
            <w:top w:w="0" w:type="dxa"/>
            <w:left w:w="108" w:type="dxa"/>
            <w:bottom w:w="0" w:type="dxa"/>
            <w:right w:w="108" w:type="dxa"/>
          </w:tblCellMar>
        </w:tblPrEx>
        <w:trPr>
          <w:trHeight w:val="500" w:hRule="atLeast"/>
        </w:trPr>
        <w:tc>
          <w:tcPr>
            <w:tcW w:w="404" w:type="pct"/>
            <w:vMerge w:val="continue"/>
            <w:tcBorders>
              <w:top w:val="nil"/>
              <w:left w:val="single" w:color="auto" w:sz="4" w:space="0"/>
              <w:bottom w:val="single" w:color="auto" w:sz="4" w:space="0"/>
              <w:right w:val="single" w:color="auto" w:sz="4" w:space="0"/>
            </w:tcBorders>
            <w:vAlign w:val="center"/>
          </w:tcPr>
          <w:p w14:paraId="64CB0D22">
            <w:pPr>
              <w:widowControl/>
              <w:spacing w:after="0" w:afterLines="0" w:line="240" w:lineRule="auto"/>
              <w:ind w:firstLine="0" w:firstLineChars="0"/>
              <w:jc w:val="left"/>
              <w:rPr>
                <w:rFonts w:ascii="宋体" w:hAnsi="宋体" w:cs="宋体"/>
                <w:color w:val="000000"/>
                <w:kern w:val="0"/>
                <w:sz w:val="24"/>
              </w:rPr>
            </w:pPr>
          </w:p>
        </w:tc>
        <w:tc>
          <w:tcPr>
            <w:tcW w:w="908" w:type="pct"/>
            <w:vMerge w:val="continue"/>
            <w:tcBorders>
              <w:top w:val="nil"/>
              <w:left w:val="single" w:color="auto" w:sz="4" w:space="0"/>
              <w:bottom w:val="single" w:color="auto" w:sz="4" w:space="0"/>
              <w:right w:val="single" w:color="auto" w:sz="4" w:space="0"/>
            </w:tcBorders>
            <w:vAlign w:val="center"/>
          </w:tcPr>
          <w:p w14:paraId="1FE5B6DF">
            <w:pPr>
              <w:widowControl/>
              <w:spacing w:after="0" w:afterLines="0" w:line="240" w:lineRule="auto"/>
              <w:ind w:firstLine="0" w:firstLineChars="0"/>
              <w:jc w:val="left"/>
              <w:rPr>
                <w:rFonts w:ascii="宋体" w:hAnsi="宋体" w:cs="宋体"/>
                <w:color w:val="000000"/>
                <w:kern w:val="0"/>
                <w:sz w:val="24"/>
              </w:rPr>
            </w:pPr>
          </w:p>
        </w:tc>
        <w:tc>
          <w:tcPr>
            <w:tcW w:w="1247" w:type="pct"/>
            <w:vMerge w:val="continue"/>
            <w:tcBorders>
              <w:top w:val="nil"/>
              <w:left w:val="single" w:color="auto" w:sz="4" w:space="0"/>
              <w:bottom w:val="single" w:color="auto" w:sz="4" w:space="0"/>
              <w:right w:val="single" w:color="auto" w:sz="4" w:space="0"/>
            </w:tcBorders>
            <w:vAlign w:val="center"/>
          </w:tcPr>
          <w:p w14:paraId="53E54D7C">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restart"/>
            <w:tcBorders>
              <w:top w:val="nil"/>
              <w:left w:val="single" w:color="auto" w:sz="4" w:space="0"/>
              <w:bottom w:val="single" w:color="auto" w:sz="4" w:space="0"/>
              <w:right w:val="single" w:color="auto" w:sz="4" w:space="0"/>
            </w:tcBorders>
            <w:shd w:val="clear" w:color="auto" w:fill="auto"/>
            <w:vAlign w:val="center"/>
          </w:tcPr>
          <w:p w14:paraId="60A6788F">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3、视频支持H.265、H.264 SVC编解码协议，能够适应不同线路带宽、不同设备能力、不同网络环境的组网需求；</w:t>
            </w:r>
          </w:p>
        </w:tc>
      </w:tr>
      <w:tr w14:paraId="24699D06">
        <w:tblPrEx>
          <w:tblCellMar>
            <w:top w:w="0" w:type="dxa"/>
            <w:left w:w="108" w:type="dxa"/>
            <w:bottom w:w="0" w:type="dxa"/>
            <w:right w:w="108" w:type="dxa"/>
          </w:tblCellMar>
        </w:tblPrEx>
        <w:trPr>
          <w:trHeight w:val="500" w:hRule="atLeast"/>
        </w:trPr>
        <w:tc>
          <w:tcPr>
            <w:tcW w:w="404" w:type="pct"/>
            <w:vMerge w:val="continue"/>
            <w:tcBorders>
              <w:top w:val="nil"/>
              <w:left w:val="single" w:color="auto" w:sz="4" w:space="0"/>
              <w:bottom w:val="single" w:color="auto" w:sz="4" w:space="0"/>
              <w:right w:val="single" w:color="auto" w:sz="4" w:space="0"/>
            </w:tcBorders>
            <w:vAlign w:val="center"/>
          </w:tcPr>
          <w:p w14:paraId="6AA13B02">
            <w:pPr>
              <w:widowControl/>
              <w:spacing w:after="0" w:afterLines="0" w:line="240" w:lineRule="auto"/>
              <w:ind w:firstLine="0" w:firstLineChars="0"/>
              <w:jc w:val="left"/>
              <w:rPr>
                <w:rFonts w:ascii="宋体" w:hAnsi="宋体" w:cs="宋体"/>
                <w:color w:val="000000"/>
                <w:kern w:val="0"/>
                <w:sz w:val="24"/>
              </w:rPr>
            </w:pPr>
          </w:p>
        </w:tc>
        <w:tc>
          <w:tcPr>
            <w:tcW w:w="908" w:type="pct"/>
            <w:vMerge w:val="continue"/>
            <w:tcBorders>
              <w:top w:val="nil"/>
              <w:left w:val="single" w:color="auto" w:sz="4" w:space="0"/>
              <w:bottom w:val="single" w:color="auto" w:sz="4" w:space="0"/>
              <w:right w:val="single" w:color="auto" w:sz="4" w:space="0"/>
            </w:tcBorders>
            <w:vAlign w:val="center"/>
          </w:tcPr>
          <w:p w14:paraId="7B0002F2">
            <w:pPr>
              <w:widowControl/>
              <w:spacing w:after="0" w:afterLines="0" w:line="240" w:lineRule="auto"/>
              <w:ind w:firstLine="0" w:firstLineChars="0"/>
              <w:jc w:val="left"/>
              <w:rPr>
                <w:rFonts w:ascii="宋体" w:hAnsi="宋体" w:cs="宋体"/>
                <w:color w:val="000000"/>
                <w:kern w:val="0"/>
                <w:sz w:val="24"/>
              </w:rPr>
            </w:pPr>
          </w:p>
        </w:tc>
        <w:tc>
          <w:tcPr>
            <w:tcW w:w="1247" w:type="pct"/>
            <w:vMerge w:val="continue"/>
            <w:tcBorders>
              <w:top w:val="nil"/>
              <w:left w:val="single" w:color="auto" w:sz="4" w:space="0"/>
              <w:bottom w:val="single" w:color="auto" w:sz="4" w:space="0"/>
              <w:right w:val="single" w:color="auto" w:sz="4" w:space="0"/>
            </w:tcBorders>
            <w:vAlign w:val="center"/>
          </w:tcPr>
          <w:p w14:paraId="1F87ECAC">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continue"/>
            <w:tcBorders>
              <w:top w:val="nil"/>
              <w:left w:val="single" w:color="auto" w:sz="4" w:space="0"/>
              <w:bottom w:val="single" w:color="auto" w:sz="4" w:space="0"/>
              <w:right w:val="single" w:color="auto" w:sz="4" w:space="0"/>
            </w:tcBorders>
            <w:vAlign w:val="center"/>
          </w:tcPr>
          <w:p w14:paraId="0B80F8AC">
            <w:pPr>
              <w:widowControl/>
              <w:spacing w:after="0" w:afterLines="0" w:line="240" w:lineRule="auto"/>
              <w:ind w:firstLine="0" w:firstLineChars="0"/>
              <w:jc w:val="left"/>
              <w:rPr>
                <w:rFonts w:ascii="宋体" w:hAnsi="宋体" w:cs="宋体"/>
                <w:color w:val="000000"/>
                <w:kern w:val="0"/>
                <w:sz w:val="24"/>
                <w:szCs w:val="24"/>
              </w:rPr>
            </w:pPr>
          </w:p>
        </w:tc>
      </w:tr>
      <w:tr w14:paraId="14CC6F1E">
        <w:tblPrEx>
          <w:tblCellMar>
            <w:top w:w="0" w:type="dxa"/>
            <w:left w:w="108" w:type="dxa"/>
            <w:bottom w:w="0" w:type="dxa"/>
            <w:right w:w="108" w:type="dxa"/>
          </w:tblCellMar>
        </w:tblPrEx>
        <w:trPr>
          <w:trHeight w:val="500" w:hRule="atLeast"/>
        </w:trPr>
        <w:tc>
          <w:tcPr>
            <w:tcW w:w="404" w:type="pct"/>
            <w:vMerge w:val="continue"/>
            <w:tcBorders>
              <w:top w:val="nil"/>
              <w:left w:val="single" w:color="auto" w:sz="4" w:space="0"/>
              <w:bottom w:val="single" w:color="auto" w:sz="4" w:space="0"/>
              <w:right w:val="single" w:color="auto" w:sz="4" w:space="0"/>
            </w:tcBorders>
            <w:vAlign w:val="center"/>
          </w:tcPr>
          <w:p w14:paraId="39114BA5">
            <w:pPr>
              <w:widowControl/>
              <w:spacing w:after="0" w:afterLines="0" w:line="240" w:lineRule="auto"/>
              <w:ind w:firstLine="0" w:firstLineChars="0"/>
              <w:jc w:val="left"/>
              <w:rPr>
                <w:rFonts w:ascii="宋体" w:hAnsi="宋体" w:cs="宋体"/>
                <w:color w:val="000000"/>
                <w:kern w:val="0"/>
                <w:sz w:val="24"/>
              </w:rPr>
            </w:pPr>
          </w:p>
        </w:tc>
        <w:tc>
          <w:tcPr>
            <w:tcW w:w="908" w:type="pct"/>
            <w:vMerge w:val="continue"/>
            <w:tcBorders>
              <w:top w:val="nil"/>
              <w:left w:val="single" w:color="auto" w:sz="4" w:space="0"/>
              <w:bottom w:val="single" w:color="auto" w:sz="4" w:space="0"/>
              <w:right w:val="single" w:color="auto" w:sz="4" w:space="0"/>
            </w:tcBorders>
            <w:vAlign w:val="center"/>
          </w:tcPr>
          <w:p w14:paraId="54F99BA3">
            <w:pPr>
              <w:widowControl/>
              <w:spacing w:after="0" w:afterLines="0" w:line="240" w:lineRule="auto"/>
              <w:ind w:firstLine="0" w:firstLineChars="0"/>
              <w:jc w:val="left"/>
              <w:rPr>
                <w:rFonts w:ascii="宋体" w:hAnsi="宋体" w:cs="宋体"/>
                <w:color w:val="000000"/>
                <w:kern w:val="0"/>
                <w:sz w:val="24"/>
              </w:rPr>
            </w:pPr>
          </w:p>
        </w:tc>
        <w:tc>
          <w:tcPr>
            <w:tcW w:w="1247" w:type="pct"/>
            <w:vMerge w:val="continue"/>
            <w:tcBorders>
              <w:top w:val="nil"/>
              <w:left w:val="single" w:color="auto" w:sz="4" w:space="0"/>
              <w:bottom w:val="single" w:color="auto" w:sz="4" w:space="0"/>
              <w:right w:val="single" w:color="auto" w:sz="4" w:space="0"/>
            </w:tcBorders>
            <w:vAlign w:val="center"/>
          </w:tcPr>
          <w:p w14:paraId="01BC1061">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restart"/>
            <w:tcBorders>
              <w:top w:val="nil"/>
              <w:left w:val="single" w:color="auto" w:sz="4" w:space="0"/>
              <w:bottom w:val="single" w:color="auto" w:sz="4" w:space="0"/>
              <w:right w:val="single" w:color="auto" w:sz="4" w:space="0"/>
            </w:tcBorders>
            <w:shd w:val="clear" w:color="auto" w:fill="auto"/>
            <w:vAlign w:val="center"/>
          </w:tcPr>
          <w:p w14:paraId="278E4D94">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4、支持4K、1080P、720P高清视频处理；</w:t>
            </w:r>
          </w:p>
        </w:tc>
      </w:tr>
      <w:tr w14:paraId="72E2DFAE">
        <w:tblPrEx>
          <w:tblCellMar>
            <w:top w:w="0" w:type="dxa"/>
            <w:left w:w="108" w:type="dxa"/>
            <w:bottom w:w="0" w:type="dxa"/>
            <w:right w:w="108" w:type="dxa"/>
          </w:tblCellMar>
        </w:tblPrEx>
        <w:trPr>
          <w:trHeight w:val="500" w:hRule="atLeast"/>
        </w:trPr>
        <w:tc>
          <w:tcPr>
            <w:tcW w:w="404" w:type="pct"/>
            <w:vMerge w:val="continue"/>
            <w:tcBorders>
              <w:top w:val="nil"/>
              <w:left w:val="single" w:color="auto" w:sz="4" w:space="0"/>
              <w:bottom w:val="single" w:color="auto" w:sz="4" w:space="0"/>
              <w:right w:val="single" w:color="auto" w:sz="4" w:space="0"/>
            </w:tcBorders>
            <w:vAlign w:val="center"/>
          </w:tcPr>
          <w:p w14:paraId="44117C37">
            <w:pPr>
              <w:widowControl/>
              <w:spacing w:after="0" w:afterLines="0" w:line="240" w:lineRule="auto"/>
              <w:ind w:firstLine="0" w:firstLineChars="0"/>
              <w:jc w:val="left"/>
              <w:rPr>
                <w:rFonts w:ascii="宋体" w:hAnsi="宋体" w:cs="宋体"/>
                <w:color w:val="000000"/>
                <w:kern w:val="0"/>
                <w:sz w:val="24"/>
              </w:rPr>
            </w:pPr>
          </w:p>
        </w:tc>
        <w:tc>
          <w:tcPr>
            <w:tcW w:w="908" w:type="pct"/>
            <w:vMerge w:val="continue"/>
            <w:tcBorders>
              <w:top w:val="nil"/>
              <w:left w:val="single" w:color="auto" w:sz="4" w:space="0"/>
              <w:bottom w:val="single" w:color="auto" w:sz="4" w:space="0"/>
              <w:right w:val="single" w:color="auto" w:sz="4" w:space="0"/>
            </w:tcBorders>
            <w:vAlign w:val="center"/>
          </w:tcPr>
          <w:p w14:paraId="559F45FE">
            <w:pPr>
              <w:widowControl/>
              <w:spacing w:after="0" w:afterLines="0" w:line="240" w:lineRule="auto"/>
              <w:ind w:firstLine="0" w:firstLineChars="0"/>
              <w:jc w:val="left"/>
              <w:rPr>
                <w:rFonts w:ascii="宋体" w:hAnsi="宋体" w:cs="宋体"/>
                <w:color w:val="000000"/>
                <w:kern w:val="0"/>
                <w:sz w:val="24"/>
              </w:rPr>
            </w:pPr>
          </w:p>
        </w:tc>
        <w:tc>
          <w:tcPr>
            <w:tcW w:w="1247" w:type="pct"/>
            <w:vMerge w:val="continue"/>
            <w:tcBorders>
              <w:top w:val="nil"/>
              <w:left w:val="single" w:color="auto" w:sz="4" w:space="0"/>
              <w:bottom w:val="single" w:color="auto" w:sz="4" w:space="0"/>
              <w:right w:val="single" w:color="auto" w:sz="4" w:space="0"/>
            </w:tcBorders>
            <w:vAlign w:val="center"/>
          </w:tcPr>
          <w:p w14:paraId="4BD7A39A">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continue"/>
            <w:tcBorders>
              <w:top w:val="nil"/>
              <w:left w:val="single" w:color="auto" w:sz="4" w:space="0"/>
              <w:bottom w:val="single" w:color="auto" w:sz="4" w:space="0"/>
              <w:right w:val="single" w:color="auto" w:sz="4" w:space="0"/>
            </w:tcBorders>
            <w:vAlign w:val="center"/>
          </w:tcPr>
          <w:p w14:paraId="42C78A36">
            <w:pPr>
              <w:widowControl/>
              <w:spacing w:after="0" w:afterLines="0" w:line="240" w:lineRule="auto"/>
              <w:ind w:firstLine="0" w:firstLineChars="0"/>
              <w:jc w:val="left"/>
              <w:rPr>
                <w:rFonts w:ascii="宋体" w:hAnsi="宋体" w:cs="宋体"/>
                <w:color w:val="000000"/>
                <w:kern w:val="0"/>
                <w:sz w:val="24"/>
                <w:szCs w:val="24"/>
              </w:rPr>
            </w:pPr>
          </w:p>
        </w:tc>
      </w:tr>
      <w:tr w14:paraId="777214D8">
        <w:tblPrEx>
          <w:tblCellMar>
            <w:top w:w="0" w:type="dxa"/>
            <w:left w:w="108" w:type="dxa"/>
            <w:bottom w:w="0" w:type="dxa"/>
            <w:right w:w="108" w:type="dxa"/>
          </w:tblCellMar>
        </w:tblPrEx>
        <w:trPr>
          <w:trHeight w:val="500" w:hRule="atLeast"/>
        </w:trPr>
        <w:tc>
          <w:tcPr>
            <w:tcW w:w="404" w:type="pct"/>
            <w:vMerge w:val="continue"/>
            <w:tcBorders>
              <w:top w:val="nil"/>
              <w:left w:val="single" w:color="auto" w:sz="4" w:space="0"/>
              <w:bottom w:val="single" w:color="auto" w:sz="4" w:space="0"/>
              <w:right w:val="single" w:color="auto" w:sz="4" w:space="0"/>
            </w:tcBorders>
            <w:vAlign w:val="center"/>
          </w:tcPr>
          <w:p w14:paraId="3F9824B1">
            <w:pPr>
              <w:widowControl/>
              <w:spacing w:after="0" w:afterLines="0" w:line="240" w:lineRule="auto"/>
              <w:ind w:firstLine="0" w:firstLineChars="0"/>
              <w:jc w:val="left"/>
              <w:rPr>
                <w:rFonts w:ascii="宋体" w:hAnsi="宋体" w:cs="宋体"/>
                <w:color w:val="000000"/>
                <w:kern w:val="0"/>
                <w:sz w:val="24"/>
              </w:rPr>
            </w:pPr>
          </w:p>
        </w:tc>
        <w:tc>
          <w:tcPr>
            <w:tcW w:w="908" w:type="pct"/>
            <w:vMerge w:val="continue"/>
            <w:tcBorders>
              <w:top w:val="nil"/>
              <w:left w:val="single" w:color="auto" w:sz="4" w:space="0"/>
              <w:bottom w:val="single" w:color="auto" w:sz="4" w:space="0"/>
              <w:right w:val="single" w:color="auto" w:sz="4" w:space="0"/>
            </w:tcBorders>
            <w:vAlign w:val="center"/>
          </w:tcPr>
          <w:p w14:paraId="74839090">
            <w:pPr>
              <w:widowControl/>
              <w:spacing w:after="0" w:afterLines="0" w:line="240" w:lineRule="auto"/>
              <w:ind w:firstLine="0" w:firstLineChars="0"/>
              <w:jc w:val="left"/>
              <w:rPr>
                <w:rFonts w:ascii="宋体" w:hAnsi="宋体" w:cs="宋体"/>
                <w:color w:val="000000"/>
                <w:kern w:val="0"/>
                <w:sz w:val="24"/>
              </w:rPr>
            </w:pPr>
          </w:p>
        </w:tc>
        <w:tc>
          <w:tcPr>
            <w:tcW w:w="1247" w:type="pct"/>
            <w:vMerge w:val="continue"/>
            <w:tcBorders>
              <w:top w:val="nil"/>
              <w:left w:val="single" w:color="auto" w:sz="4" w:space="0"/>
              <w:bottom w:val="single" w:color="auto" w:sz="4" w:space="0"/>
              <w:right w:val="single" w:color="auto" w:sz="4" w:space="0"/>
            </w:tcBorders>
            <w:vAlign w:val="center"/>
          </w:tcPr>
          <w:p w14:paraId="56680313">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restart"/>
            <w:tcBorders>
              <w:top w:val="nil"/>
              <w:left w:val="single" w:color="auto" w:sz="4" w:space="0"/>
              <w:bottom w:val="single" w:color="auto" w:sz="4" w:space="0"/>
              <w:right w:val="single" w:color="auto" w:sz="4" w:space="0"/>
            </w:tcBorders>
            <w:shd w:val="clear" w:color="auto" w:fill="auto"/>
            <w:vAlign w:val="center"/>
          </w:tcPr>
          <w:p w14:paraId="7F16FD80">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5、音频支持G.711、G.722、OPUS协议，支持48K采样率的全带音频；</w:t>
            </w:r>
          </w:p>
        </w:tc>
      </w:tr>
      <w:tr w14:paraId="69731A03">
        <w:tblPrEx>
          <w:tblCellMar>
            <w:top w:w="0" w:type="dxa"/>
            <w:left w:w="108" w:type="dxa"/>
            <w:bottom w:w="0" w:type="dxa"/>
            <w:right w:w="108" w:type="dxa"/>
          </w:tblCellMar>
        </w:tblPrEx>
        <w:trPr>
          <w:trHeight w:val="500" w:hRule="atLeast"/>
        </w:trPr>
        <w:tc>
          <w:tcPr>
            <w:tcW w:w="404" w:type="pct"/>
            <w:vMerge w:val="continue"/>
            <w:tcBorders>
              <w:top w:val="nil"/>
              <w:left w:val="single" w:color="auto" w:sz="4" w:space="0"/>
              <w:bottom w:val="single" w:color="auto" w:sz="4" w:space="0"/>
              <w:right w:val="single" w:color="auto" w:sz="4" w:space="0"/>
            </w:tcBorders>
            <w:vAlign w:val="center"/>
          </w:tcPr>
          <w:p w14:paraId="5074693F">
            <w:pPr>
              <w:widowControl/>
              <w:spacing w:after="0" w:afterLines="0" w:line="240" w:lineRule="auto"/>
              <w:ind w:firstLine="0" w:firstLineChars="0"/>
              <w:jc w:val="left"/>
              <w:rPr>
                <w:rFonts w:ascii="宋体" w:hAnsi="宋体" w:cs="宋体"/>
                <w:color w:val="000000"/>
                <w:kern w:val="0"/>
                <w:sz w:val="24"/>
              </w:rPr>
            </w:pPr>
          </w:p>
        </w:tc>
        <w:tc>
          <w:tcPr>
            <w:tcW w:w="908" w:type="pct"/>
            <w:vMerge w:val="continue"/>
            <w:tcBorders>
              <w:top w:val="nil"/>
              <w:left w:val="single" w:color="auto" w:sz="4" w:space="0"/>
              <w:bottom w:val="single" w:color="auto" w:sz="4" w:space="0"/>
              <w:right w:val="single" w:color="auto" w:sz="4" w:space="0"/>
            </w:tcBorders>
            <w:vAlign w:val="center"/>
          </w:tcPr>
          <w:p w14:paraId="510D49BF">
            <w:pPr>
              <w:widowControl/>
              <w:spacing w:after="0" w:afterLines="0" w:line="240" w:lineRule="auto"/>
              <w:ind w:firstLine="0" w:firstLineChars="0"/>
              <w:jc w:val="left"/>
              <w:rPr>
                <w:rFonts w:ascii="宋体" w:hAnsi="宋体" w:cs="宋体"/>
                <w:color w:val="000000"/>
                <w:kern w:val="0"/>
                <w:sz w:val="24"/>
              </w:rPr>
            </w:pPr>
          </w:p>
        </w:tc>
        <w:tc>
          <w:tcPr>
            <w:tcW w:w="1247" w:type="pct"/>
            <w:vMerge w:val="continue"/>
            <w:tcBorders>
              <w:top w:val="nil"/>
              <w:left w:val="single" w:color="auto" w:sz="4" w:space="0"/>
              <w:bottom w:val="single" w:color="auto" w:sz="4" w:space="0"/>
              <w:right w:val="single" w:color="auto" w:sz="4" w:space="0"/>
            </w:tcBorders>
            <w:vAlign w:val="center"/>
          </w:tcPr>
          <w:p w14:paraId="3B3C65AE">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continue"/>
            <w:tcBorders>
              <w:top w:val="nil"/>
              <w:left w:val="single" w:color="auto" w:sz="4" w:space="0"/>
              <w:bottom w:val="single" w:color="auto" w:sz="4" w:space="0"/>
              <w:right w:val="single" w:color="auto" w:sz="4" w:space="0"/>
            </w:tcBorders>
            <w:vAlign w:val="center"/>
          </w:tcPr>
          <w:p w14:paraId="65E70B09">
            <w:pPr>
              <w:widowControl/>
              <w:spacing w:after="0" w:afterLines="0" w:line="240" w:lineRule="auto"/>
              <w:ind w:firstLine="0" w:firstLineChars="0"/>
              <w:jc w:val="left"/>
              <w:rPr>
                <w:rFonts w:ascii="宋体" w:hAnsi="宋体" w:cs="宋体"/>
                <w:color w:val="000000"/>
                <w:kern w:val="0"/>
                <w:sz w:val="24"/>
                <w:szCs w:val="24"/>
              </w:rPr>
            </w:pPr>
          </w:p>
        </w:tc>
      </w:tr>
      <w:tr w14:paraId="02401597">
        <w:tblPrEx>
          <w:tblCellMar>
            <w:top w:w="0" w:type="dxa"/>
            <w:left w:w="108" w:type="dxa"/>
            <w:bottom w:w="0" w:type="dxa"/>
            <w:right w:w="108" w:type="dxa"/>
          </w:tblCellMar>
        </w:tblPrEx>
        <w:trPr>
          <w:trHeight w:val="500" w:hRule="atLeast"/>
        </w:trPr>
        <w:tc>
          <w:tcPr>
            <w:tcW w:w="404" w:type="pct"/>
            <w:vMerge w:val="continue"/>
            <w:tcBorders>
              <w:top w:val="nil"/>
              <w:left w:val="single" w:color="auto" w:sz="4" w:space="0"/>
              <w:bottom w:val="single" w:color="auto" w:sz="4" w:space="0"/>
              <w:right w:val="single" w:color="auto" w:sz="4" w:space="0"/>
            </w:tcBorders>
            <w:vAlign w:val="center"/>
          </w:tcPr>
          <w:p w14:paraId="1FE6DAC6">
            <w:pPr>
              <w:widowControl/>
              <w:spacing w:after="0" w:afterLines="0" w:line="240" w:lineRule="auto"/>
              <w:ind w:firstLine="0" w:firstLineChars="0"/>
              <w:jc w:val="left"/>
              <w:rPr>
                <w:rFonts w:ascii="宋体" w:hAnsi="宋体" w:cs="宋体"/>
                <w:color w:val="000000"/>
                <w:kern w:val="0"/>
                <w:sz w:val="24"/>
              </w:rPr>
            </w:pPr>
          </w:p>
        </w:tc>
        <w:tc>
          <w:tcPr>
            <w:tcW w:w="908" w:type="pct"/>
            <w:vMerge w:val="continue"/>
            <w:tcBorders>
              <w:top w:val="nil"/>
              <w:left w:val="single" w:color="auto" w:sz="4" w:space="0"/>
              <w:bottom w:val="single" w:color="auto" w:sz="4" w:space="0"/>
              <w:right w:val="single" w:color="auto" w:sz="4" w:space="0"/>
            </w:tcBorders>
            <w:vAlign w:val="center"/>
          </w:tcPr>
          <w:p w14:paraId="5D067CC8">
            <w:pPr>
              <w:widowControl/>
              <w:spacing w:after="0" w:afterLines="0" w:line="240" w:lineRule="auto"/>
              <w:ind w:firstLine="0" w:firstLineChars="0"/>
              <w:jc w:val="left"/>
              <w:rPr>
                <w:rFonts w:ascii="宋体" w:hAnsi="宋体" w:cs="宋体"/>
                <w:color w:val="000000"/>
                <w:kern w:val="0"/>
                <w:sz w:val="24"/>
              </w:rPr>
            </w:pPr>
          </w:p>
        </w:tc>
        <w:tc>
          <w:tcPr>
            <w:tcW w:w="1247" w:type="pct"/>
            <w:vMerge w:val="continue"/>
            <w:tcBorders>
              <w:top w:val="nil"/>
              <w:left w:val="single" w:color="auto" w:sz="4" w:space="0"/>
              <w:bottom w:val="single" w:color="auto" w:sz="4" w:space="0"/>
              <w:right w:val="single" w:color="auto" w:sz="4" w:space="0"/>
            </w:tcBorders>
            <w:vAlign w:val="center"/>
          </w:tcPr>
          <w:p w14:paraId="098E9671">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restart"/>
            <w:tcBorders>
              <w:top w:val="nil"/>
              <w:left w:val="single" w:color="auto" w:sz="4" w:space="0"/>
              <w:bottom w:val="single" w:color="auto" w:sz="4" w:space="0"/>
              <w:right w:val="single" w:color="auto" w:sz="4" w:space="0"/>
            </w:tcBorders>
            <w:shd w:val="clear" w:color="auto" w:fill="auto"/>
            <w:vAlign w:val="center"/>
          </w:tcPr>
          <w:p w14:paraId="08C91909">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6、支持XGA、SXGA、WXGA、720P、1080P等分辨率的共享内容。支持共享内容自动选择最佳分辨率与帧率；</w:t>
            </w:r>
          </w:p>
        </w:tc>
      </w:tr>
      <w:tr w14:paraId="38334ED6">
        <w:tblPrEx>
          <w:tblCellMar>
            <w:top w:w="0" w:type="dxa"/>
            <w:left w:w="108" w:type="dxa"/>
            <w:bottom w:w="0" w:type="dxa"/>
            <w:right w:w="108" w:type="dxa"/>
          </w:tblCellMar>
        </w:tblPrEx>
        <w:trPr>
          <w:trHeight w:val="500" w:hRule="atLeast"/>
        </w:trPr>
        <w:tc>
          <w:tcPr>
            <w:tcW w:w="404" w:type="pct"/>
            <w:vMerge w:val="continue"/>
            <w:tcBorders>
              <w:top w:val="nil"/>
              <w:left w:val="single" w:color="auto" w:sz="4" w:space="0"/>
              <w:bottom w:val="single" w:color="auto" w:sz="4" w:space="0"/>
              <w:right w:val="single" w:color="auto" w:sz="4" w:space="0"/>
            </w:tcBorders>
            <w:vAlign w:val="center"/>
          </w:tcPr>
          <w:p w14:paraId="2E915AD0">
            <w:pPr>
              <w:widowControl/>
              <w:spacing w:after="0" w:afterLines="0" w:line="240" w:lineRule="auto"/>
              <w:ind w:firstLine="0" w:firstLineChars="0"/>
              <w:jc w:val="left"/>
              <w:rPr>
                <w:rFonts w:ascii="宋体" w:hAnsi="宋体" w:cs="宋体"/>
                <w:color w:val="000000"/>
                <w:kern w:val="0"/>
                <w:sz w:val="24"/>
              </w:rPr>
            </w:pPr>
          </w:p>
        </w:tc>
        <w:tc>
          <w:tcPr>
            <w:tcW w:w="908" w:type="pct"/>
            <w:vMerge w:val="continue"/>
            <w:tcBorders>
              <w:top w:val="nil"/>
              <w:left w:val="single" w:color="auto" w:sz="4" w:space="0"/>
              <w:bottom w:val="single" w:color="auto" w:sz="4" w:space="0"/>
              <w:right w:val="single" w:color="auto" w:sz="4" w:space="0"/>
            </w:tcBorders>
            <w:vAlign w:val="center"/>
          </w:tcPr>
          <w:p w14:paraId="0C7CA06C">
            <w:pPr>
              <w:widowControl/>
              <w:spacing w:after="0" w:afterLines="0" w:line="240" w:lineRule="auto"/>
              <w:ind w:firstLine="0" w:firstLineChars="0"/>
              <w:jc w:val="left"/>
              <w:rPr>
                <w:rFonts w:ascii="宋体" w:hAnsi="宋体" w:cs="宋体"/>
                <w:color w:val="000000"/>
                <w:kern w:val="0"/>
                <w:sz w:val="24"/>
              </w:rPr>
            </w:pPr>
          </w:p>
        </w:tc>
        <w:tc>
          <w:tcPr>
            <w:tcW w:w="1247" w:type="pct"/>
            <w:vMerge w:val="continue"/>
            <w:tcBorders>
              <w:top w:val="nil"/>
              <w:left w:val="single" w:color="auto" w:sz="4" w:space="0"/>
              <w:bottom w:val="single" w:color="auto" w:sz="4" w:space="0"/>
              <w:right w:val="single" w:color="auto" w:sz="4" w:space="0"/>
            </w:tcBorders>
            <w:vAlign w:val="center"/>
          </w:tcPr>
          <w:p w14:paraId="3CBA5DD4">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continue"/>
            <w:tcBorders>
              <w:top w:val="nil"/>
              <w:left w:val="single" w:color="auto" w:sz="4" w:space="0"/>
              <w:bottom w:val="single" w:color="auto" w:sz="4" w:space="0"/>
              <w:right w:val="single" w:color="auto" w:sz="4" w:space="0"/>
            </w:tcBorders>
            <w:vAlign w:val="center"/>
          </w:tcPr>
          <w:p w14:paraId="3F88A495">
            <w:pPr>
              <w:widowControl/>
              <w:spacing w:after="0" w:afterLines="0" w:line="240" w:lineRule="auto"/>
              <w:ind w:firstLine="0" w:firstLineChars="0"/>
              <w:jc w:val="left"/>
              <w:rPr>
                <w:rFonts w:ascii="宋体" w:hAnsi="宋体" w:cs="宋体"/>
                <w:color w:val="000000"/>
                <w:kern w:val="0"/>
                <w:sz w:val="24"/>
                <w:szCs w:val="24"/>
              </w:rPr>
            </w:pPr>
          </w:p>
        </w:tc>
      </w:tr>
      <w:tr w14:paraId="7FAA1851">
        <w:tblPrEx>
          <w:tblCellMar>
            <w:top w:w="0" w:type="dxa"/>
            <w:left w:w="108" w:type="dxa"/>
            <w:bottom w:w="0" w:type="dxa"/>
            <w:right w:w="108" w:type="dxa"/>
          </w:tblCellMar>
        </w:tblPrEx>
        <w:trPr>
          <w:trHeight w:val="500" w:hRule="atLeast"/>
        </w:trPr>
        <w:tc>
          <w:tcPr>
            <w:tcW w:w="404" w:type="pct"/>
            <w:vMerge w:val="continue"/>
            <w:tcBorders>
              <w:top w:val="nil"/>
              <w:left w:val="single" w:color="auto" w:sz="4" w:space="0"/>
              <w:bottom w:val="single" w:color="auto" w:sz="4" w:space="0"/>
              <w:right w:val="single" w:color="auto" w:sz="4" w:space="0"/>
            </w:tcBorders>
            <w:vAlign w:val="center"/>
          </w:tcPr>
          <w:p w14:paraId="6E9AD55E">
            <w:pPr>
              <w:widowControl/>
              <w:spacing w:after="0" w:afterLines="0" w:line="240" w:lineRule="auto"/>
              <w:ind w:firstLine="0" w:firstLineChars="0"/>
              <w:jc w:val="left"/>
              <w:rPr>
                <w:rFonts w:ascii="宋体" w:hAnsi="宋体" w:cs="宋体"/>
                <w:color w:val="000000"/>
                <w:kern w:val="0"/>
                <w:sz w:val="24"/>
              </w:rPr>
            </w:pPr>
          </w:p>
        </w:tc>
        <w:tc>
          <w:tcPr>
            <w:tcW w:w="908" w:type="pct"/>
            <w:vMerge w:val="continue"/>
            <w:tcBorders>
              <w:top w:val="nil"/>
              <w:left w:val="single" w:color="auto" w:sz="4" w:space="0"/>
              <w:bottom w:val="single" w:color="auto" w:sz="4" w:space="0"/>
              <w:right w:val="single" w:color="auto" w:sz="4" w:space="0"/>
            </w:tcBorders>
            <w:vAlign w:val="center"/>
          </w:tcPr>
          <w:p w14:paraId="5FF03211">
            <w:pPr>
              <w:widowControl/>
              <w:spacing w:after="0" w:afterLines="0" w:line="240" w:lineRule="auto"/>
              <w:ind w:firstLine="0" w:firstLineChars="0"/>
              <w:jc w:val="left"/>
              <w:rPr>
                <w:rFonts w:ascii="宋体" w:hAnsi="宋体" w:cs="宋体"/>
                <w:color w:val="000000"/>
                <w:kern w:val="0"/>
                <w:sz w:val="24"/>
              </w:rPr>
            </w:pPr>
          </w:p>
        </w:tc>
        <w:tc>
          <w:tcPr>
            <w:tcW w:w="1247" w:type="pct"/>
            <w:vMerge w:val="continue"/>
            <w:tcBorders>
              <w:top w:val="nil"/>
              <w:left w:val="single" w:color="auto" w:sz="4" w:space="0"/>
              <w:bottom w:val="single" w:color="auto" w:sz="4" w:space="0"/>
              <w:right w:val="single" w:color="auto" w:sz="4" w:space="0"/>
            </w:tcBorders>
            <w:vAlign w:val="center"/>
          </w:tcPr>
          <w:p w14:paraId="42720216">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restart"/>
            <w:tcBorders>
              <w:top w:val="nil"/>
              <w:left w:val="single" w:color="auto" w:sz="4" w:space="0"/>
              <w:bottom w:val="single" w:color="auto" w:sz="4" w:space="0"/>
              <w:right w:val="single" w:color="auto" w:sz="4" w:space="0"/>
            </w:tcBorders>
            <w:shd w:val="clear" w:color="auto" w:fill="auto"/>
            <w:vAlign w:val="center"/>
          </w:tcPr>
          <w:p w14:paraId="357F407F">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7、支持多路内容共享，允许会议中多个终端进行内容共享，会控可以选择其中一路进行内容广播；</w:t>
            </w:r>
          </w:p>
        </w:tc>
      </w:tr>
      <w:tr w14:paraId="05E41CDD">
        <w:tblPrEx>
          <w:tblCellMar>
            <w:top w:w="0" w:type="dxa"/>
            <w:left w:w="108" w:type="dxa"/>
            <w:bottom w:w="0" w:type="dxa"/>
            <w:right w:w="108" w:type="dxa"/>
          </w:tblCellMar>
        </w:tblPrEx>
        <w:trPr>
          <w:trHeight w:val="500" w:hRule="atLeast"/>
        </w:trPr>
        <w:tc>
          <w:tcPr>
            <w:tcW w:w="404" w:type="pct"/>
            <w:vMerge w:val="continue"/>
            <w:tcBorders>
              <w:top w:val="nil"/>
              <w:left w:val="single" w:color="auto" w:sz="4" w:space="0"/>
              <w:bottom w:val="single" w:color="auto" w:sz="4" w:space="0"/>
              <w:right w:val="single" w:color="auto" w:sz="4" w:space="0"/>
            </w:tcBorders>
            <w:vAlign w:val="center"/>
          </w:tcPr>
          <w:p w14:paraId="664FAB9B">
            <w:pPr>
              <w:widowControl/>
              <w:spacing w:after="0" w:afterLines="0" w:line="240" w:lineRule="auto"/>
              <w:ind w:firstLine="0" w:firstLineChars="0"/>
              <w:jc w:val="left"/>
              <w:rPr>
                <w:rFonts w:ascii="宋体" w:hAnsi="宋体" w:cs="宋体"/>
                <w:color w:val="000000"/>
                <w:kern w:val="0"/>
                <w:sz w:val="24"/>
              </w:rPr>
            </w:pPr>
          </w:p>
        </w:tc>
        <w:tc>
          <w:tcPr>
            <w:tcW w:w="908" w:type="pct"/>
            <w:vMerge w:val="continue"/>
            <w:tcBorders>
              <w:top w:val="nil"/>
              <w:left w:val="single" w:color="auto" w:sz="4" w:space="0"/>
              <w:bottom w:val="single" w:color="auto" w:sz="4" w:space="0"/>
              <w:right w:val="single" w:color="auto" w:sz="4" w:space="0"/>
            </w:tcBorders>
            <w:vAlign w:val="center"/>
          </w:tcPr>
          <w:p w14:paraId="0C21C58A">
            <w:pPr>
              <w:widowControl/>
              <w:spacing w:after="0" w:afterLines="0" w:line="240" w:lineRule="auto"/>
              <w:ind w:firstLine="0" w:firstLineChars="0"/>
              <w:jc w:val="left"/>
              <w:rPr>
                <w:rFonts w:ascii="宋体" w:hAnsi="宋体" w:cs="宋体"/>
                <w:color w:val="000000"/>
                <w:kern w:val="0"/>
                <w:sz w:val="24"/>
              </w:rPr>
            </w:pPr>
          </w:p>
        </w:tc>
        <w:tc>
          <w:tcPr>
            <w:tcW w:w="1247" w:type="pct"/>
            <w:vMerge w:val="continue"/>
            <w:tcBorders>
              <w:top w:val="nil"/>
              <w:left w:val="single" w:color="auto" w:sz="4" w:space="0"/>
              <w:bottom w:val="single" w:color="auto" w:sz="4" w:space="0"/>
              <w:right w:val="single" w:color="auto" w:sz="4" w:space="0"/>
            </w:tcBorders>
            <w:vAlign w:val="center"/>
          </w:tcPr>
          <w:p w14:paraId="7EAE700E">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continue"/>
            <w:tcBorders>
              <w:top w:val="nil"/>
              <w:left w:val="single" w:color="auto" w:sz="4" w:space="0"/>
              <w:bottom w:val="single" w:color="auto" w:sz="4" w:space="0"/>
              <w:right w:val="single" w:color="auto" w:sz="4" w:space="0"/>
            </w:tcBorders>
            <w:vAlign w:val="center"/>
          </w:tcPr>
          <w:p w14:paraId="31F74AD9">
            <w:pPr>
              <w:widowControl/>
              <w:spacing w:after="0" w:afterLines="0" w:line="240" w:lineRule="auto"/>
              <w:ind w:firstLine="0" w:firstLineChars="0"/>
              <w:jc w:val="left"/>
              <w:rPr>
                <w:rFonts w:ascii="宋体" w:hAnsi="宋体" w:cs="宋体"/>
                <w:color w:val="000000"/>
                <w:kern w:val="0"/>
                <w:sz w:val="24"/>
                <w:szCs w:val="24"/>
              </w:rPr>
            </w:pPr>
          </w:p>
        </w:tc>
      </w:tr>
      <w:tr w14:paraId="3DCA2E2F">
        <w:tblPrEx>
          <w:tblCellMar>
            <w:top w:w="0" w:type="dxa"/>
            <w:left w:w="108" w:type="dxa"/>
            <w:bottom w:w="0" w:type="dxa"/>
            <w:right w:w="108" w:type="dxa"/>
          </w:tblCellMar>
        </w:tblPrEx>
        <w:trPr>
          <w:trHeight w:val="500" w:hRule="atLeast"/>
        </w:trPr>
        <w:tc>
          <w:tcPr>
            <w:tcW w:w="404" w:type="pct"/>
            <w:vMerge w:val="continue"/>
            <w:tcBorders>
              <w:top w:val="nil"/>
              <w:left w:val="single" w:color="auto" w:sz="4" w:space="0"/>
              <w:bottom w:val="single" w:color="auto" w:sz="4" w:space="0"/>
              <w:right w:val="single" w:color="auto" w:sz="4" w:space="0"/>
            </w:tcBorders>
            <w:vAlign w:val="center"/>
          </w:tcPr>
          <w:p w14:paraId="5C30582E">
            <w:pPr>
              <w:widowControl/>
              <w:spacing w:after="0" w:afterLines="0" w:line="240" w:lineRule="auto"/>
              <w:ind w:firstLine="0" w:firstLineChars="0"/>
              <w:jc w:val="left"/>
              <w:rPr>
                <w:rFonts w:ascii="宋体" w:hAnsi="宋体" w:cs="宋体"/>
                <w:color w:val="000000"/>
                <w:kern w:val="0"/>
                <w:sz w:val="24"/>
              </w:rPr>
            </w:pPr>
          </w:p>
        </w:tc>
        <w:tc>
          <w:tcPr>
            <w:tcW w:w="908" w:type="pct"/>
            <w:vMerge w:val="continue"/>
            <w:tcBorders>
              <w:top w:val="nil"/>
              <w:left w:val="single" w:color="auto" w:sz="4" w:space="0"/>
              <w:bottom w:val="single" w:color="auto" w:sz="4" w:space="0"/>
              <w:right w:val="single" w:color="auto" w:sz="4" w:space="0"/>
            </w:tcBorders>
            <w:vAlign w:val="center"/>
          </w:tcPr>
          <w:p w14:paraId="1802D176">
            <w:pPr>
              <w:widowControl/>
              <w:spacing w:after="0" w:afterLines="0" w:line="240" w:lineRule="auto"/>
              <w:ind w:firstLine="0" w:firstLineChars="0"/>
              <w:jc w:val="left"/>
              <w:rPr>
                <w:rFonts w:ascii="宋体" w:hAnsi="宋体" w:cs="宋体"/>
                <w:color w:val="000000"/>
                <w:kern w:val="0"/>
                <w:sz w:val="24"/>
              </w:rPr>
            </w:pPr>
          </w:p>
        </w:tc>
        <w:tc>
          <w:tcPr>
            <w:tcW w:w="1247" w:type="pct"/>
            <w:vMerge w:val="continue"/>
            <w:tcBorders>
              <w:top w:val="nil"/>
              <w:left w:val="single" w:color="auto" w:sz="4" w:space="0"/>
              <w:bottom w:val="single" w:color="auto" w:sz="4" w:space="0"/>
              <w:right w:val="single" w:color="auto" w:sz="4" w:space="0"/>
            </w:tcBorders>
            <w:vAlign w:val="center"/>
          </w:tcPr>
          <w:p w14:paraId="1D4D78CF">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restart"/>
            <w:tcBorders>
              <w:top w:val="nil"/>
              <w:left w:val="single" w:color="auto" w:sz="4" w:space="0"/>
              <w:bottom w:val="single" w:color="auto" w:sz="4" w:space="0"/>
              <w:right w:val="single" w:color="auto" w:sz="4" w:space="0"/>
            </w:tcBorders>
            <w:shd w:val="clear" w:color="auto" w:fill="auto"/>
            <w:vAlign w:val="center"/>
          </w:tcPr>
          <w:p w14:paraId="30DD7067">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8、通讯信令通道支持SSL加密，媒体传输支持AES256加密；</w:t>
            </w:r>
          </w:p>
        </w:tc>
      </w:tr>
      <w:tr w14:paraId="17EB4D5E">
        <w:tblPrEx>
          <w:tblCellMar>
            <w:top w:w="0" w:type="dxa"/>
            <w:left w:w="108" w:type="dxa"/>
            <w:bottom w:w="0" w:type="dxa"/>
            <w:right w:w="108" w:type="dxa"/>
          </w:tblCellMar>
        </w:tblPrEx>
        <w:trPr>
          <w:trHeight w:val="500" w:hRule="atLeast"/>
        </w:trPr>
        <w:tc>
          <w:tcPr>
            <w:tcW w:w="404" w:type="pct"/>
            <w:vMerge w:val="continue"/>
            <w:tcBorders>
              <w:top w:val="nil"/>
              <w:left w:val="single" w:color="auto" w:sz="4" w:space="0"/>
              <w:bottom w:val="single" w:color="auto" w:sz="4" w:space="0"/>
              <w:right w:val="single" w:color="auto" w:sz="4" w:space="0"/>
            </w:tcBorders>
            <w:vAlign w:val="center"/>
          </w:tcPr>
          <w:p w14:paraId="09EF8A54">
            <w:pPr>
              <w:widowControl/>
              <w:spacing w:after="0" w:afterLines="0" w:line="240" w:lineRule="auto"/>
              <w:ind w:firstLine="0" w:firstLineChars="0"/>
              <w:jc w:val="left"/>
              <w:rPr>
                <w:rFonts w:ascii="宋体" w:hAnsi="宋体" w:cs="宋体"/>
                <w:color w:val="000000"/>
                <w:kern w:val="0"/>
                <w:sz w:val="24"/>
              </w:rPr>
            </w:pPr>
          </w:p>
        </w:tc>
        <w:tc>
          <w:tcPr>
            <w:tcW w:w="908" w:type="pct"/>
            <w:vMerge w:val="continue"/>
            <w:tcBorders>
              <w:top w:val="nil"/>
              <w:left w:val="single" w:color="auto" w:sz="4" w:space="0"/>
              <w:bottom w:val="single" w:color="auto" w:sz="4" w:space="0"/>
              <w:right w:val="single" w:color="auto" w:sz="4" w:space="0"/>
            </w:tcBorders>
            <w:vAlign w:val="center"/>
          </w:tcPr>
          <w:p w14:paraId="3237B948">
            <w:pPr>
              <w:widowControl/>
              <w:spacing w:after="0" w:afterLines="0" w:line="240" w:lineRule="auto"/>
              <w:ind w:firstLine="0" w:firstLineChars="0"/>
              <w:jc w:val="left"/>
              <w:rPr>
                <w:rFonts w:ascii="宋体" w:hAnsi="宋体" w:cs="宋体"/>
                <w:color w:val="000000"/>
                <w:kern w:val="0"/>
                <w:sz w:val="24"/>
              </w:rPr>
            </w:pPr>
          </w:p>
        </w:tc>
        <w:tc>
          <w:tcPr>
            <w:tcW w:w="1247" w:type="pct"/>
            <w:vMerge w:val="continue"/>
            <w:tcBorders>
              <w:top w:val="nil"/>
              <w:left w:val="single" w:color="auto" w:sz="4" w:space="0"/>
              <w:bottom w:val="single" w:color="auto" w:sz="4" w:space="0"/>
              <w:right w:val="single" w:color="auto" w:sz="4" w:space="0"/>
            </w:tcBorders>
            <w:vAlign w:val="center"/>
          </w:tcPr>
          <w:p w14:paraId="0CCC3645">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continue"/>
            <w:tcBorders>
              <w:top w:val="nil"/>
              <w:left w:val="single" w:color="auto" w:sz="4" w:space="0"/>
              <w:bottom w:val="single" w:color="auto" w:sz="4" w:space="0"/>
              <w:right w:val="single" w:color="auto" w:sz="4" w:space="0"/>
            </w:tcBorders>
            <w:vAlign w:val="center"/>
          </w:tcPr>
          <w:p w14:paraId="641E260E">
            <w:pPr>
              <w:widowControl/>
              <w:spacing w:after="0" w:afterLines="0" w:line="240" w:lineRule="auto"/>
              <w:ind w:firstLine="0" w:firstLineChars="0"/>
              <w:jc w:val="left"/>
              <w:rPr>
                <w:rFonts w:ascii="宋体" w:hAnsi="宋体" w:cs="宋体"/>
                <w:color w:val="000000"/>
                <w:kern w:val="0"/>
                <w:sz w:val="24"/>
                <w:szCs w:val="24"/>
              </w:rPr>
            </w:pPr>
          </w:p>
        </w:tc>
      </w:tr>
      <w:tr w14:paraId="1831AC54">
        <w:tblPrEx>
          <w:tblCellMar>
            <w:top w:w="0" w:type="dxa"/>
            <w:left w:w="108" w:type="dxa"/>
            <w:bottom w:w="0" w:type="dxa"/>
            <w:right w:w="108" w:type="dxa"/>
          </w:tblCellMar>
        </w:tblPrEx>
        <w:trPr>
          <w:trHeight w:val="500" w:hRule="atLeast"/>
        </w:trPr>
        <w:tc>
          <w:tcPr>
            <w:tcW w:w="404" w:type="pct"/>
            <w:vMerge w:val="continue"/>
            <w:tcBorders>
              <w:top w:val="nil"/>
              <w:left w:val="single" w:color="auto" w:sz="4" w:space="0"/>
              <w:bottom w:val="single" w:color="auto" w:sz="4" w:space="0"/>
              <w:right w:val="single" w:color="auto" w:sz="4" w:space="0"/>
            </w:tcBorders>
            <w:vAlign w:val="center"/>
          </w:tcPr>
          <w:p w14:paraId="7E731FDC">
            <w:pPr>
              <w:widowControl/>
              <w:spacing w:after="0" w:afterLines="0" w:line="240" w:lineRule="auto"/>
              <w:ind w:firstLine="0" w:firstLineChars="0"/>
              <w:jc w:val="left"/>
              <w:rPr>
                <w:rFonts w:ascii="宋体" w:hAnsi="宋体" w:cs="宋体"/>
                <w:color w:val="000000"/>
                <w:kern w:val="0"/>
                <w:sz w:val="24"/>
              </w:rPr>
            </w:pPr>
          </w:p>
        </w:tc>
        <w:tc>
          <w:tcPr>
            <w:tcW w:w="908" w:type="pct"/>
            <w:vMerge w:val="continue"/>
            <w:tcBorders>
              <w:top w:val="nil"/>
              <w:left w:val="single" w:color="auto" w:sz="4" w:space="0"/>
              <w:bottom w:val="single" w:color="auto" w:sz="4" w:space="0"/>
              <w:right w:val="single" w:color="auto" w:sz="4" w:space="0"/>
            </w:tcBorders>
            <w:vAlign w:val="center"/>
          </w:tcPr>
          <w:p w14:paraId="55482EFB">
            <w:pPr>
              <w:widowControl/>
              <w:spacing w:after="0" w:afterLines="0" w:line="240" w:lineRule="auto"/>
              <w:ind w:firstLine="0" w:firstLineChars="0"/>
              <w:jc w:val="left"/>
              <w:rPr>
                <w:rFonts w:ascii="宋体" w:hAnsi="宋体" w:cs="宋体"/>
                <w:color w:val="000000"/>
                <w:kern w:val="0"/>
                <w:sz w:val="24"/>
              </w:rPr>
            </w:pPr>
          </w:p>
        </w:tc>
        <w:tc>
          <w:tcPr>
            <w:tcW w:w="1247" w:type="pct"/>
            <w:vMerge w:val="continue"/>
            <w:tcBorders>
              <w:top w:val="nil"/>
              <w:left w:val="single" w:color="auto" w:sz="4" w:space="0"/>
              <w:bottom w:val="single" w:color="auto" w:sz="4" w:space="0"/>
              <w:right w:val="single" w:color="auto" w:sz="4" w:space="0"/>
            </w:tcBorders>
            <w:vAlign w:val="center"/>
          </w:tcPr>
          <w:p w14:paraId="2EB20306">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restart"/>
            <w:tcBorders>
              <w:top w:val="nil"/>
              <w:left w:val="single" w:color="auto" w:sz="4" w:space="0"/>
              <w:bottom w:val="single" w:color="auto" w:sz="4" w:space="0"/>
              <w:right w:val="single" w:color="auto" w:sz="4" w:space="0"/>
            </w:tcBorders>
            <w:shd w:val="clear" w:color="auto" w:fill="auto"/>
            <w:vAlign w:val="center"/>
          </w:tcPr>
          <w:p w14:paraId="46237D97">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9、视频呼叫支持64Kbps至8Mbps带宽自适应，并可实时显示当前自适应呼叫带宽；</w:t>
            </w:r>
          </w:p>
        </w:tc>
      </w:tr>
      <w:tr w14:paraId="1A2A77B1">
        <w:tblPrEx>
          <w:tblCellMar>
            <w:top w:w="0" w:type="dxa"/>
            <w:left w:w="108" w:type="dxa"/>
            <w:bottom w:w="0" w:type="dxa"/>
            <w:right w:w="108" w:type="dxa"/>
          </w:tblCellMar>
        </w:tblPrEx>
        <w:trPr>
          <w:trHeight w:val="500" w:hRule="atLeast"/>
        </w:trPr>
        <w:tc>
          <w:tcPr>
            <w:tcW w:w="404" w:type="pct"/>
            <w:vMerge w:val="continue"/>
            <w:tcBorders>
              <w:top w:val="nil"/>
              <w:left w:val="single" w:color="auto" w:sz="4" w:space="0"/>
              <w:bottom w:val="single" w:color="auto" w:sz="4" w:space="0"/>
              <w:right w:val="single" w:color="auto" w:sz="4" w:space="0"/>
            </w:tcBorders>
            <w:vAlign w:val="center"/>
          </w:tcPr>
          <w:p w14:paraId="3EDFBF64">
            <w:pPr>
              <w:widowControl/>
              <w:spacing w:after="0" w:afterLines="0" w:line="240" w:lineRule="auto"/>
              <w:ind w:firstLine="0" w:firstLineChars="0"/>
              <w:jc w:val="left"/>
              <w:rPr>
                <w:rFonts w:ascii="宋体" w:hAnsi="宋体" w:cs="宋体"/>
                <w:color w:val="000000"/>
                <w:kern w:val="0"/>
                <w:sz w:val="24"/>
              </w:rPr>
            </w:pPr>
          </w:p>
        </w:tc>
        <w:tc>
          <w:tcPr>
            <w:tcW w:w="908" w:type="pct"/>
            <w:vMerge w:val="continue"/>
            <w:tcBorders>
              <w:top w:val="nil"/>
              <w:left w:val="single" w:color="auto" w:sz="4" w:space="0"/>
              <w:bottom w:val="single" w:color="auto" w:sz="4" w:space="0"/>
              <w:right w:val="single" w:color="auto" w:sz="4" w:space="0"/>
            </w:tcBorders>
            <w:vAlign w:val="center"/>
          </w:tcPr>
          <w:p w14:paraId="7A6F9783">
            <w:pPr>
              <w:widowControl/>
              <w:spacing w:after="0" w:afterLines="0" w:line="240" w:lineRule="auto"/>
              <w:ind w:firstLine="0" w:firstLineChars="0"/>
              <w:jc w:val="left"/>
              <w:rPr>
                <w:rFonts w:ascii="宋体" w:hAnsi="宋体" w:cs="宋体"/>
                <w:color w:val="000000"/>
                <w:kern w:val="0"/>
                <w:sz w:val="24"/>
              </w:rPr>
            </w:pPr>
          </w:p>
        </w:tc>
        <w:tc>
          <w:tcPr>
            <w:tcW w:w="1247" w:type="pct"/>
            <w:vMerge w:val="continue"/>
            <w:tcBorders>
              <w:top w:val="nil"/>
              <w:left w:val="single" w:color="auto" w:sz="4" w:space="0"/>
              <w:bottom w:val="single" w:color="auto" w:sz="4" w:space="0"/>
              <w:right w:val="single" w:color="auto" w:sz="4" w:space="0"/>
            </w:tcBorders>
            <w:vAlign w:val="center"/>
          </w:tcPr>
          <w:p w14:paraId="22E39FA9">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continue"/>
            <w:tcBorders>
              <w:top w:val="nil"/>
              <w:left w:val="single" w:color="auto" w:sz="4" w:space="0"/>
              <w:bottom w:val="single" w:color="auto" w:sz="4" w:space="0"/>
              <w:right w:val="single" w:color="auto" w:sz="4" w:space="0"/>
            </w:tcBorders>
            <w:vAlign w:val="center"/>
          </w:tcPr>
          <w:p w14:paraId="01E7709C">
            <w:pPr>
              <w:widowControl/>
              <w:spacing w:after="0" w:afterLines="0" w:line="240" w:lineRule="auto"/>
              <w:ind w:firstLine="0" w:firstLineChars="0"/>
              <w:jc w:val="left"/>
              <w:rPr>
                <w:rFonts w:ascii="宋体" w:hAnsi="宋体" w:cs="宋体"/>
                <w:color w:val="000000"/>
                <w:kern w:val="0"/>
                <w:sz w:val="24"/>
                <w:szCs w:val="24"/>
              </w:rPr>
            </w:pPr>
          </w:p>
        </w:tc>
      </w:tr>
      <w:tr w14:paraId="29EDB282">
        <w:tblPrEx>
          <w:tblCellMar>
            <w:top w:w="0" w:type="dxa"/>
            <w:left w:w="108" w:type="dxa"/>
            <w:bottom w:w="0" w:type="dxa"/>
            <w:right w:w="108" w:type="dxa"/>
          </w:tblCellMar>
        </w:tblPrEx>
        <w:trPr>
          <w:trHeight w:val="500" w:hRule="atLeast"/>
        </w:trPr>
        <w:tc>
          <w:tcPr>
            <w:tcW w:w="404" w:type="pct"/>
            <w:vMerge w:val="continue"/>
            <w:tcBorders>
              <w:top w:val="nil"/>
              <w:left w:val="single" w:color="auto" w:sz="4" w:space="0"/>
              <w:bottom w:val="single" w:color="auto" w:sz="4" w:space="0"/>
              <w:right w:val="single" w:color="auto" w:sz="4" w:space="0"/>
            </w:tcBorders>
            <w:vAlign w:val="center"/>
          </w:tcPr>
          <w:p w14:paraId="73049861">
            <w:pPr>
              <w:widowControl/>
              <w:spacing w:after="0" w:afterLines="0" w:line="240" w:lineRule="auto"/>
              <w:ind w:firstLine="0" w:firstLineChars="0"/>
              <w:jc w:val="left"/>
              <w:rPr>
                <w:rFonts w:ascii="宋体" w:hAnsi="宋体" w:cs="宋体"/>
                <w:color w:val="000000"/>
                <w:kern w:val="0"/>
                <w:sz w:val="24"/>
              </w:rPr>
            </w:pPr>
          </w:p>
        </w:tc>
        <w:tc>
          <w:tcPr>
            <w:tcW w:w="908" w:type="pct"/>
            <w:vMerge w:val="continue"/>
            <w:tcBorders>
              <w:top w:val="nil"/>
              <w:left w:val="single" w:color="auto" w:sz="4" w:space="0"/>
              <w:bottom w:val="single" w:color="auto" w:sz="4" w:space="0"/>
              <w:right w:val="single" w:color="auto" w:sz="4" w:space="0"/>
            </w:tcBorders>
            <w:vAlign w:val="center"/>
          </w:tcPr>
          <w:p w14:paraId="76DB824D">
            <w:pPr>
              <w:widowControl/>
              <w:spacing w:after="0" w:afterLines="0" w:line="240" w:lineRule="auto"/>
              <w:ind w:firstLine="0" w:firstLineChars="0"/>
              <w:jc w:val="left"/>
              <w:rPr>
                <w:rFonts w:ascii="宋体" w:hAnsi="宋体" w:cs="宋体"/>
                <w:color w:val="000000"/>
                <w:kern w:val="0"/>
                <w:sz w:val="24"/>
              </w:rPr>
            </w:pPr>
          </w:p>
        </w:tc>
        <w:tc>
          <w:tcPr>
            <w:tcW w:w="1247" w:type="pct"/>
            <w:vMerge w:val="continue"/>
            <w:tcBorders>
              <w:top w:val="nil"/>
              <w:left w:val="single" w:color="auto" w:sz="4" w:space="0"/>
              <w:bottom w:val="single" w:color="auto" w:sz="4" w:space="0"/>
              <w:right w:val="single" w:color="auto" w:sz="4" w:space="0"/>
            </w:tcBorders>
            <w:vAlign w:val="center"/>
          </w:tcPr>
          <w:p w14:paraId="1BC23DAD">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restart"/>
            <w:tcBorders>
              <w:top w:val="nil"/>
              <w:left w:val="single" w:color="auto" w:sz="4" w:space="0"/>
              <w:bottom w:val="single" w:color="auto" w:sz="4" w:space="0"/>
              <w:right w:val="single" w:color="auto" w:sz="4" w:space="0"/>
            </w:tcBorders>
            <w:shd w:val="clear" w:color="auto" w:fill="auto"/>
            <w:vAlign w:val="center"/>
          </w:tcPr>
          <w:p w14:paraId="775535AE">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10、支持网络抗丢包算法，在丢包率30%的情况下能保证视频流畅传输，帧率不低于25帧/秒；</w:t>
            </w:r>
          </w:p>
        </w:tc>
      </w:tr>
      <w:tr w14:paraId="56F26CE4">
        <w:tblPrEx>
          <w:tblCellMar>
            <w:top w:w="0" w:type="dxa"/>
            <w:left w:w="108" w:type="dxa"/>
            <w:bottom w:w="0" w:type="dxa"/>
            <w:right w:w="108" w:type="dxa"/>
          </w:tblCellMar>
        </w:tblPrEx>
        <w:trPr>
          <w:trHeight w:val="500" w:hRule="atLeast"/>
        </w:trPr>
        <w:tc>
          <w:tcPr>
            <w:tcW w:w="404" w:type="pct"/>
            <w:vMerge w:val="continue"/>
            <w:tcBorders>
              <w:top w:val="nil"/>
              <w:left w:val="single" w:color="auto" w:sz="4" w:space="0"/>
              <w:bottom w:val="single" w:color="auto" w:sz="4" w:space="0"/>
              <w:right w:val="single" w:color="auto" w:sz="4" w:space="0"/>
            </w:tcBorders>
            <w:vAlign w:val="center"/>
          </w:tcPr>
          <w:p w14:paraId="791D18D9">
            <w:pPr>
              <w:widowControl/>
              <w:spacing w:after="0" w:afterLines="0" w:line="240" w:lineRule="auto"/>
              <w:ind w:firstLine="0" w:firstLineChars="0"/>
              <w:jc w:val="left"/>
              <w:rPr>
                <w:rFonts w:ascii="宋体" w:hAnsi="宋体" w:cs="宋体"/>
                <w:color w:val="000000"/>
                <w:kern w:val="0"/>
                <w:sz w:val="24"/>
              </w:rPr>
            </w:pPr>
          </w:p>
        </w:tc>
        <w:tc>
          <w:tcPr>
            <w:tcW w:w="908" w:type="pct"/>
            <w:vMerge w:val="continue"/>
            <w:tcBorders>
              <w:top w:val="nil"/>
              <w:left w:val="single" w:color="auto" w:sz="4" w:space="0"/>
              <w:bottom w:val="single" w:color="auto" w:sz="4" w:space="0"/>
              <w:right w:val="single" w:color="auto" w:sz="4" w:space="0"/>
            </w:tcBorders>
            <w:vAlign w:val="center"/>
          </w:tcPr>
          <w:p w14:paraId="2CF6365B">
            <w:pPr>
              <w:widowControl/>
              <w:spacing w:after="0" w:afterLines="0" w:line="240" w:lineRule="auto"/>
              <w:ind w:firstLine="0" w:firstLineChars="0"/>
              <w:jc w:val="left"/>
              <w:rPr>
                <w:rFonts w:ascii="宋体" w:hAnsi="宋体" w:cs="宋体"/>
                <w:color w:val="000000"/>
                <w:kern w:val="0"/>
                <w:sz w:val="24"/>
              </w:rPr>
            </w:pPr>
          </w:p>
        </w:tc>
        <w:tc>
          <w:tcPr>
            <w:tcW w:w="1247" w:type="pct"/>
            <w:vMerge w:val="continue"/>
            <w:tcBorders>
              <w:top w:val="nil"/>
              <w:left w:val="single" w:color="auto" w:sz="4" w:space="0"/>
              <w:bottom w:val="single" w:color="auto" w:sz="4" w:space="0"/>
              <w:right w:val="single" w:color="auto" w:sz="4" w:space="0"/>
            </w:tcBorders>
            <w:vAlign w:val="center"/>
          </w:tcPr>
          <w:p w14:paraId="34ECE47E">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continue"/>
            <w:tcBorders>
              <w:top w:val="nil"/>
              <w:left w:val="single" w:color="auto" w:sz="4" w:space="0"/>
              <w:bottom w:val="single" w:color="auto" w:sz="4" w:space="0"/>
              <w:right w:val="single" w:color="auto" w:sz="4" w:space="0"/>
            </w:tcBorders>
            <w:vAlign w:val="center"/>
          </w:tcPr>
          <w:p w14:paraId="0F7A77B1">
            <w:pPr>
              <w:widowControl/>
              <w:spacing w:after="0" w:afterLines="0" w:line="240" w:lineRule="auto"/>
              <w:ind w:firstLine="0" w:firstLineChars="0"/>
              <w:jc w:val="left"/>
              <w:rPr>
                <w:rFonts w:ascii="宋体" w:hAnsi="宋体" w:cs="宋体"/>
                <w:color w:val="000000"/>
                <w:kern w:val="0"/>
                <w:sz w:val="24"/>
                <w:szCs w:val="24"/>
              </w:rPr>
            </w:pPr>
          </w:p>
        </w:tc>
      </w:tr>
      <w:tr w14:paraId="0110FF22">
        <w:tblPrEx>
          <w:tblCellMar>
            <w:top w:w="0" w:type="dxa"/>
            <w:left w:w="108" w:type="dxa"/>
            <w:bottom w:w="0" w:type="dxa"/>
            <w:right w:w="108" w:type="dxa"/>
          </w:tblCellMar>
        </w:tblPrEx>
        <w:trPr>
          <w:trHeight w:val="500" w:hRule="atLeast"/>
        </w:trPr>
        <w:tc>
          <w:tcPr>
            <w:tcW w:w="404" w:type="pct"/>
            <w:vMerge w:val="continue"/>
            <w:tcBorders>
              <w:top w:val="nil"/>
              <w:left w:val="single" w:color="auto" w:sz="4" w:space="0"/>
              <w:bottom w:val="single" w:color="auto" w:sz="4" w:space="0"/>
              <w:right w:val="single" w:color="auto" w:sz="4" w:space="0"/>
            </w:tcBorders>
            <w:vAlign w:val="center"/>
          </w:tcPr>
          <w:p w14:paraId="7AB62275">
            <w:pPr>
              <w:widowControl/>
              <w:spacing w:after="0" w:afterLines="0" w:line="240" w:lineRule="auto"/>
              <w:ind w:firstLine="0" w:firstLineChars="0"/>
              <w:jc w:val="left"/>
              <w:rPr>
                <w:rFonts w:ascii="宋体" w:hAnsi="宋体" w:cs="宋体"/>
                <w:color w:val="000000"/>
                <w:kern w:val="0"/>
                <w:sz w:val="24"/>
              </w:rPr>
            </w:pPr>
          </w:p>
        </w:tc>
        <w:tc>
          <w:tcPr>
            <w:tcW w:w="908" w:type="pct"/>
            <w:vMerge w:val="continue"/>
            <w:tcBorders>
              <w:top w:val="nil"/>
              <w:left w:val="single" w:color="auto" w:sz="4" w:space="0"/>
              <w:bottom w:val="single" w:color="auto" w:sz="4" w:space="0"/>
              <w:right w:val="single" w:color="auto" w:sz="4" w:space="0"/>
            </w:tcBorders>
            <w:vAlign w:val="center"/>
          </w:tcPr>
          <w:p w14:paraId="0B22C94E">
            <w:pPr>
              <w:widowControl/>
              <w:spacing w:after="0" w:afterLines="0" w:line="240" w:lineRule="auto"/>
              <w:ind w:firstLine="0" w:firstLineChars="0"/>
              <w:jc w:val="left"/>
              <w:rPr>
                <w:rFonts w:ascii="宋体" w:hAnsi="宋体" w:cs="宋体"/>
                <w:color w:val="000000"/>
                <w:kern w:val="0"/>
                <w:sz w:val="24"/>
              </w:rPr>
            </w:pPr>
          </w:p>
        </w:tc>
        <w:tc>
          <w:tcPr>
            <w:tcW w:w="1247" w:type="pct"/>
            <w:vMerge w:val="continue"/>
            <w:tcBorders>
              <w:top w:val="nil"/>
              <w:left w:val="single" w:color="auto" w:sz="4" w:space="0"/>
              <w:bottom w:val="single" w:color="auto" w:sz="4" w:space="0"/>
              <w:right w:val="single" w:color="auto" w:sz="4" w:space="0"/>
            </w:tcBorders>
            <w:vAlign w:val="center"/>
          </w:tcPr>
          <w:p w14:paraId="5B6F83AE">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restart"/>
            <w:tcBorders>
              <w:top w:val="nil"/>
              <w:left w:val="single" w:color="auto" w:sz="4" w:space="0"/>
              <w:bottom w:val="single" w:color="auto" w:sz="4" w:space="0"/>
              <w:right w:val="single" w:color="auto" w:sz="4" w:space="0"/>
            </w:tcBorders>
            <w:shd w:val="clear" w:color="auto" w:fill="auto"/>
            <w:vAlign w:val="center"/>
          </w:tcPr>
          <w:p w14:paraId="14B3B799">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11、录制的视频文件支持分段加密并保存在云端，密钥和媒体文件独立保存；</w:t>
            </w:r>
          </w:p>
        </w:tc>
      </w:tr>
      <w:tr w14:paraId="1E28D7ED">
        <w:tblPrEx>
          <w:tblCellMar>
            <w:top w:w="0" w:type="dxa"/>
            <w:left w:w="108" w:type="dxa"/>
            <w:bottom w:w="0" w:type="dxa"/>
            <w:right w:w="108" w:type="dxa"/>
          </w:tblCellMar>
        </w:tblPrEx>
        <w:trPr>
          <w:trHeight w:val="500" w:hRule="atLeast"/>
        </w:trPr>
        <w:tc>
          <w:tcPr>
            <w:tcW w:w="404" w:type="pct"/>
            <w:vMerge w:val="continue"/>
            <w:tcBorders>
              <w:top w:val="nil"/>
              <w:left w:val="single" w:color="auto" w:sz="4" w:space="0"/>
              <w:bottom w:val="single" w:color="auto" w:sz="4" w:space="0"/>
              <w:right w:val="single" w:color="auto" w:sz="4" w:space="0"/>
            </w:tcBorders>
            <w:vAlign w:val="center"/>
          </w:tcPr>
          <w:p w14:paraId="6B683552">
            <w:pPr>
              <w:widowControl/>
              <w:spacing w:after="0" w:afterLines="0" w:line="240" w:lineRule="auto"/>
              <w:ind w:firstLine="0" w:firstLineChars="0"/>
              <w:jc w:val="left"/>
              <w:rPr>
                <w:rFonts w:ascii="宋体" w:hAnsi="宋体" w:cs="宋体"/>
                <w:color w:val="000000"/>
                <w:kern w:val="0"/>
                <w:sz w:val="24"/>
              </w:rPr>
            </w:pPr>
          </w:p>
        </w:tc>
        <w:tc>
          <w:tcPr>
            <w:tcW w:w="908" w:type="pct"/>
            <w:vMerge w:val="continue"/>
            <w:tcBorders>
              <w:top w:val="nil"/>
              <w:left w:val="single" w:color="auto" w:sz="4" w:space="0"/>
              <w:bottom w:val="single" w:color="auto" w:sz="4" w:space="0"/>
              <w:right w:val="single" w:color="auto" w:sz="4" w:space="0"/>
            </w:tcBorders>
            <w:vAlign w:val="center"/>
          </w:tcPr>
          <w:p w14:paraId="5804F7B6">
            <w:pPr>
              <w:widowControl/>
              <w:spacing w:after="0" w:afterLines="0" w:line="240" w:lineRule="auto"/>
              <w:ind w:firstLine="0" w:firstLineChars="0"/>
              <w:jc w:val="left"/>
              <w:rPr>
                <w:rFonts w:ascii="宋体" w:hAnsi="宋体" w:cs="宋体"/>
                <w:color w:val="000000"/>
                <w:kern w:val="0"/>
                <w:sz w:val="24"/>
              </w:rPr>
            </w:pPr>
          </w:p>
        </w:tc>
        <w:tc>
          <w:tcPr>
            <w:tcW w:w="1247" w:type="pct"/>
            <w:vMerge w:val="continue"/>
            <w:tcBorders>
              <w:top w:val="nil"/>
              <w:left w:val="single" w:color="auto" w:sz="4" w:space="0"/>
              <w:bottom w:val="single" w:color="auto" w:sz="4" w:space="0"/>
              <w:right w:val="single" w:color="auto" w:sz="4" w:space="0"/>
            </w:tcBorders>
            <w:vAlign w:val="center"/>
          </w:tcPr>
          <w:p w14:paraId="4BB36FFA">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continue"/>
            <w:tcBorders>
              <w:top w:val="nil"/>
              <w:left w:val="single" w:color="auto" w:sz="4" w:space="0"/>
              <w:bottom w:val="single" w:color="auto" w:sz="4" w:space="0"/>
              <w:right w:val="single" w:color="auto" w:sz="4" w:space="0"/>
            </w:tcBorders>
            <w:vAlign w:val="center"/>
          </w:tcPr>
          <w:p w14:paraId="04102CE1">
            <w:pPr>
              <w:widowControl/>
              <w:spacing w:after="0" w:afterLines="0" w:line="240" w:lineRule="auto"/>
              <w:ind w:firstLine="0" w:firstLineChars="0"/>
              <w:jc w:val="left"/>
              <w:rPr>
                <w:rFonts w:ascii="宋体" w:hAnsi="宋体" w:cs="宋体"/>
                <w:color w:val="000000"/>
                <w:kern w:val="0"/>
                <w:sz w:val="24"/>
                <w:szCs w:val="24"/>
              </w:rPr>
            </w:pPr>
          </w:p>
        </w:tc>
      </w:tr>
      <w:tr w14:paraId="53FFD1BF">
        <w:tblPrEx>
          <w:tblCellMar>
            <w:top w:w="0" w:type="dxa"/>
            <w:left w:w="108" w:type="dxa"/>
            <w:bottom w:w="0" w:type="dxa"/>
            <w:right w:w="108" w:type="dxa"/>
          </w:tblCellMar>
        </w:tblPrEx>
        <w:trPr>
          <w:trHeight w:val="1000" w:hRule="atLeast"/>
        </w:trPr>
        <w:tc>
          <w:tcPr>
            <w:tcW w:w="404" w:type="pct"/>
            <w:vMerge w:val="continue"/>
            <w:tcBorders>
              <w:top w:val="nil"/>
              <w:left w:val="single" w:color="auto" w:sz="4" w:space="0"/>
              <w:bottom w:val="single" w:color="auto" w:sz="4" w:space="0"/>
              <w:right w:val="single" w:color="auto" w:sz="4" w:space="0"/>
            </w:tcBorders>
            <w:vAlign w:val="center"/>
          </w:tcPr>
          <w:p w14:paraId="5602E3A7">
            <w:pPr>
              <w:widowControl/>
              <w:spacing w:after="0" w:afterLines="0" w:line="240" w:lineRule="auto"/>
              <w:ind w:firstLine="0" w:firstLineChars="0"/>
              <w:jc w:val="left"/>
              <w:rPr>
                <w:rFonts w:ascii="宋体" w:hAnsi="宋体" w:cs="宋体"/>
                <w:color w:val="000000"/>
                <w:kern w:val="0"/>
                <w:sz w:val="24"/>
              </w:rPr>
            </w:pPr>
          </w:p>
        </w:tc>
        <w:tc>
          <w:tcPr>
            <w:tcW w:w="908" w:type="pct"/>
            <w:vMerge w:val="continue"/>
            <w:tcBorders>
              <w:top w:val="nil"/>
              <w:left w:val="single" w:color="auto" w:sz="4" w:space="0"/>
              <w:bottom w:val="single" w:color="auto" w:sz="4" w:space="0"/>
              <w:right w:val="single" w:color="auto" w:sz="4" w:space="0"/>
            </w:tcBorders>
            <w:vAlign w:val="center"/>
          </w:tcPr>
          <w:p w14:paraId="60758068">
            <w:pPr>
              <w:widowControl/>
              <w:spacing w:after="0" w:afterLines="0" w:line="240" w:lineRule="auto"/>
              <w:ind w:firstLine="0" w:firstLineChars="0"/>
              <w:jc w:val="left"/>
              <w:rPr>
                <w:rFonts w:ascii="宋体" w:hAnsi="宋体" w:cs="宋体"/>
                <w:color w:val="000000"/>
                <w:kern w:val="0"/>
                <w:sz w:val="24"/>
              </w:rPr>
            </w:pPr>
          </w:p>
        </w:tc>
        <w:tc>
          <w:tcPr>
            <w:tcW w:w="1247" w:type="pct"/>
            <w:vMerge w:val="continue"/>
            <w:tcBorders>
              <w:top w:val="nil"/>
              <w:left w:val="single" w:color="auto" w:sz="4" w:space="0"/>
              <w:bottom w:val="single" w:color="auto" w:sz="4" w:space="0"/>
              <w:right w:val="single" w:color="auto" w:sz="4" w:space="0"/>
            </w:tcBorders>
            <w:vAlign w:val="center"/>
          </w:tcPr>
          <w:p w14:paraId="030FFB61">
            <w:pPr>
              <w:widowControl/>
              <w:spacing w:after="0" w:afterLines="0" w:line="240" w:lineRule="auto"/>
              <w:ind w:firstLine="0" w:firstLineChars="0"/>
              <w:jc w:val="left"/>
              <w:rPr>
                <w:rFonts w:ascii="宋体" w:hAnsi="宋体" w:cs="宋体"/>
                <w:color w:val="000000"/>
                <w:kern w:val="0"/>
                <w:sz w:val="24"/>
                <w:szCs w:val="24"/>
              </w:rPr>
            </w:pPr>
          </w:p>
        </w:tc>
        <w:tc>
          <w:tcPr>
            <w:tcW w:w="2441" w:type="pct"/>
            <w:tcBorders>
              <w:top w:val="nil"/>
              <w:left w:val="nil"/>
              <w:bottom w:val="single" w:color="auto" w:sz="4" w:space="0"/>
              <w:right w:val="single" w:color="auto" w:sz="4" w:space="0"/>
            </w:tcBorders>
            <w:shd w:val="clear" w:color="auto" w:fill="auto"/>
            <w:vAlign w:val="center"/>
          </w:tcPr>
          <w:p w14:paraId="3209973B">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12、提供防火墙穿越能力，TCP端口不高于2个，UDP端口不高于1个。</w:t>
            </w:r>
          </w:p>
        </w:tc>
      </w:tr>
      <w:tr w14:paraId="50F946F7">
        <w:tblPrEx>
          <w:tblCellMar>
            <w:top w:w="0" w:type="dxa"/>
            <w:left w:w="108" w:type="dxa"/>
            <w:bottom w:w="0" w:type="dxa"/>
            <w:right w:w="108" w:type="dxa"/>
          </w:tblCellMar>
        </w:tblPrEx>
        <w:trPr>
          <w:trHeight w:val="500" w:hRule="atLeast"/>
        </w:trPr>
        <w:tc>
          <w:tcPr>
            <w:tcW w:w="40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5645FE">
            <w:pPr>
              <w:widowControl/>
              <w:spacing w:after="0" w:afterLines="0" w:line="240" w:lineRule="auto"/>
              <w:ind w:firstLine="0" w:firstLineChars="0"/>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9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8A5F82">
            <w:pPr>
              <w:widowControl/>
              <w:spacing w:after="0" w:afterLines="0" w:line="240" w:lineRule="auto"/>
              <w:ind w:firstLine="0" w:firstLineChars="0"/>
              <w:jc w:val="center"/>
              <w:rPr>
                <w:rFonts w:ascii="宋体" w:hAnsi="宋体" w:cs="宋体"/>
                <w:b/>
                <w:bCs/>
                <w:color w:val="000000"/>
                <w:kern w:val="0"/>
                <w:sz w:val="24"/>
                <w:szCs w:val="24"/>
              </w:rPr>
            </w:pPr>
            <w:r>
              <w:rPr>
                <w:rFonts w:hint="eastAsia" w:ascii="宋体" w:hAnsi="宋体" w:cs="宋体"/>
                <w:b/>
                <w:bCs/>
                <w:color w:val="000000"/>
                <w:kern w:val="0"/>
                <w:sz w:val="24"/>
                <w:szCs w:val="24"/>
              </w:rPr>
              <w:t>流媒体系统</w:t>
            </w:r>
          </w:p>
        </w:tc>
        <w:tc>
          <w:tcPr>
            <w:tcW w:w="124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7CE9E7">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提供音视频采集、流媒体处理、见证云服务等。</w:t>
            </w:r>
          </w:p>
        </w:tc>
        <w:tc>
          <w:tcPr>
            <w:tcW w:w="2441" w:type="pct"/>
            <w:vMerge w:val="restart"/>
            <w:tcBorders>
              <w:top w:val="nil"/>
              <w:left w:val="single" w:color="auto" w:sz="4" w:space="0"/>
              <w:bottom w:val="single" w:color="auto" w:sz="4" w:space="0"/>
              <w:right w:val="single" w:color="auto" w:sz="4" w:space="0"/>
            </w:tcBorders>
            <w:shd w:val="clear" w:color="auto" w:fill="auto"/>
            <w:vAlign w:val="center"/>
          </w:tcPr>
          <w:p w14:paraId="09FF119F">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1、音视频采集，包括采集监控摄像头、专家评审电脑屏幕、评审电脑外接的摄像头所产生的音视频流；</w:t>
            </w:r>
          </w:p>
        </w:tc>
      </w:tr>
      <w:tr w14:paraId="36766CB0">
        <w:tblPrEx>
          <w:tblCellMar>
            <w:top w:w="0" w:type="dxa"/>
            <w:left w:w="108" w:type="dxa"/>
            <w:bottom w:w="0" w:type="dxa"/>
            <w:right w:w="108" w:type="dxa"/>
          </w:tblCellMar>
        </w:tblPrEx>
        <w:trPr>
          <w:trHeight w:val="500" w:hRule="atLeast"/>
        </w:trPr>
        <w:tc>
          <w:tcPr>
            <w:tcW w:w="404" w:type="pct"/>
            <w:vMerge w:val="continue"/>
            <w:tcBorders>
              <w:top w:val="single" w:color="auto" w:sz="4" w:space="0"/>
              <w:left w:val="single" w:color="auto" w:sz="4" w:space="0"/>
              <w:bottom w:val="single" w:color="auto" w:sz="4" w:space="0"/>
              <w:right w:val="single" w:color="auto" w:sz="4" w:space="0"/>
            </w:tcBorders>
            <w:vAlign w:val="center"/>
          </w:tcPr>
          <w:p w14:paraId="42066AD2">
            <w:pPr>
              <w:widowControl/>
              <w:spacing w:after="0" w:afterLines="0" w:line="240" w:lineRule="auto"/>
              <w:ind w:firstLine="0" w:firstLineChars="0"/>
              <w:jc w:val="left"/>
              <w:rPr>
                <w:rFonts w:ascii="宋体" w:hAnsi="宋体" w:cs="宋体"/>
                <w:color w:val="000000"/>
                <w:kern w:val="0"/>
                <w:sz w:val="24"/>
                <w:szCs w:val="24"/>
              </w:rPr>
            </w:pPr>
          </w:p>
        </w:tc>
        <w:tc>
          <w:tcPr>
            <w:tcW w:w="908" w:type="pct"/>
            <w:vMerge w:val="continue"/>
            <w:tcBorders>
              <w:top w:val="single" w:color="auto" w:sz="4" w:space="0"/>
              <w:left w:val="single" w:color="auto" w:sz="4" w:space="0"/>
              <w:bottom w:val="single" w:color="auto" w:sz="4" w:space="0"/>
              <w:right w:val="single" w:color="auto" w:sz="4" w:space="0"/>
            </w:tcBorders>
            <w:vAlign w:val="center"/>
          </w:tcPr>
          <w:p w14:paraId="0A31654D">
            <w:pPr>
              <w:widowControl/>
              <w:spacing w:after="0" w:afterLines="0" w:line="240" w:lineRule="auto"/>
              <w:ind w:firstLine="0" w:firstLineChars="0"/>
              <w:jc w:val="left"/>
              <w:rPr>
                <w:rFonts w:ascii="宋体" w:hAnsi="宋体" w:cs="宋体"/>
                <w:b/>
                <w:bCs/>
                <w:color w:val="000000"/>
                <w:kern w:val="0"/>
                <w:sz w:val="24"/>
                <w:szCs w:val="24"/>
              </w:rPr>
            </w:pPr>
          </w:p>
        </w:tc>
        <w:tc>
          <w:tcPr>
            <w:tcW w:w="1247" w:type="pct"/>
            <w:vMerge w:val="continue"/>
            <w:tcBorders>
              <w:top w:val="single" w:color="auto" w:sz="4" w:space="0"/>
              <w:left w:val="single" w:color="auto" w:sz="4" w:space="0"/>
              <w:bottom w:val="single" w:color="auto" w:sz="4" w:space="0"/>
              <w:right w:val="single" w:color="auto" w:sz="4" w:space="0"/>
            </w:tcBorders>
            <w:vAlign w:val="center"/>
          </w:tcPr>
          <w:p w14:paraId="5961BD08">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continue"/>
            <w:tcBorders>
              <w:top w:val="nil"/>
              <w:left w:val="single" w:color="auto" w:sz="4" w:space="0"/>
              <w:bottom w:val="single" w:color="auto" w:sz="4" w:space="0"/>
              <w:right w:val="single" w:color="auto" w:sz="4" w:space="0"/>
            </w:tcBorders>
            <w:vAlign w:val="center"/>
          </w:tcPr>
          <w:p w14:paraId="49402F64">
            <w:pPr>
              <w:widowControl/>
              <w:spacing w:after="0" w:afterLines="0" w:line="240" w:lineRule="auto"/>
              <w:ind w:firstLine="0" w:firstLineChars="0"/>
              <w:jc w:val="left"/>
              <w:rPr>
                <w:rFonts w:ascii="宋体" w:hAnsi="宋体" w:cs="宋体"/>
                <w:color w:val="000000"/>
                <w:kern w:val="0"/>
                <w:sz w:val="24"/>
                <w:szCs w:val="24"/>
              </w:rPr>
            </w:pPr>
          </w:p>
        </w:tc>
      </w:tr>
      <w:tr w14:paraId="2E386236">
        <w:tblPrEx>
          <w:tblCellMar>
            <w:top w:w="0" w:type="dxa"/>
            <w:left w:w="108" w:type="dxa"/>
            <w:bottom w:w="0" w:type="dxa"/>
            <w:right w:w="108" w:type="dxa"/>
          </w:tblCellMar>
        </w:tblPrEx>
        <w:trPr>
          <w:trHeight w:val="500" w:hRule="atLeast"/>
        </w:trPr>
        <w:tc>
          <w:tcPr>
            <w:tcW w:w="404" w:type="pct"/>
            <w:vMerge w:val="continue"/>
            <w:tcBorders>
              <w:top w:val="single" w:color="auto" w:sz="4" w:space="0"/>
              <w:left w:val="single" w:color="auto" w:sz="4" w:space="0"/>
              <w:bottom w:val="single" w:color="auto" w:sz="4" w:space="0"/>
              <w:right w:val="single" w:color="auto" w:sz="4" w:space="0"/>
            </w:tcBorders>
            <w:vAlign w:val="center"/>
          </w:tcPr>
          <w:p w14:paraId="0725D6B4">
            <w:pPr>
              <w:widowControl/>
              <w:spacing w:after="0" w:afterLines="0" w:line="240" w:lineRule="auto"/>
              <w:ind w:firstLine="0" w:firstLineChars="0"/>
              <w:jc w:val="left"/>
              <w:rPr>
                <w:rFonts w:ascii="宋体" w:hAnsi="宋体" w:cs="宋体"/>
                <w:color w:val="000000"/>
                <w:kern w:val="0"/>
                <w:sz w:val="24"/>
                <w:szCs w:val="24"/>
              </w:rPr>
            </w:pPr>
          </w:p>
        </w:tc>
        <w:tc>
          <w:tcPr>
            <w:tcW w:w="908" w:type="pct"/>
            <w:vMerge w:val="continue"/>
            <w:tcBorders>
              <w:top w:val="single" w:color="auto" w:sz="4" w:space="0"/>
              <w:left w:val="single" w:color="auto" w:sz="4" w:space="0"/>
              <w:bottom w:val="single" w:color="auto" w:sz="4" w:space="0"/>
              <w:right w:val="single" w:color="auto" w:sz="4" w:space="0"/>
            </w:tcBorders>
            <w:vAlign w:val="center"/>
          </w:tcPr>
          <w:p w14:paraId="6AFEBE89">
            <w:pPr>
              <w:widowControl/>
              <w:spacing w:after="0" w:afterLines="0" w:line="240" w:lineRule="auto"/>
              <w:ind w:firstLine="0" w:firstLineChars="0"/>
              <w:jc w:val="left"/>
              <w:rPr>
                <w:rFonts w:ascii="宋体" w:hAnsi="宋体" w:cs="宋体"/>
                <w:b/>
                <w:bCs/>
                <w:color w:val="000000"/>
                <w:kern w:val="0"/>
                <w:sz w:val="24"/>
                <w:szCs w:val="24"/>
              </w:rPr>
            </w:pPr>
          </w:p>
        </w:tc>
        <w:tc>
          <w:tcPr>
            <w:tcW w:w="1247" w:type="pct"/>
            <w:vMerge w:val="continue"/>
            <w:tcBorders>
              <w:top w:val="single" w:color="auto" w:sz="4" w:space="0"/>
              <w:left w:val="single" w:color="auto" w:sz="4" w:space="0"/>
              <w:bottom w:val="single" w:color="auto" w:sz="4" w:space="0"/>
              <w:right w:val="single" w:color="auto" w:sz="4" w:space="0"/>
            </w:tcBorders>
            <w:vAlign w:val="center"/>
          </w:tcPr>
          <w:p w14:paraId="73AB287F">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restart"/>
            <w:tcBorders>
              <w:top w:val="nil"/>
              <w:left w:val="single" w:color="auto" w:sz="4" w:space="0"/>
              <w:bottom w:val="single" w:color="auto" w:sz="4" w:space="0"/>
              <w:right w:val="single" w:color="auto" w:sz="4" w:space="0"/>
            </w:tcBorders>
            <w:shd w:val="clear" w:color="auto" w:fill="auto"/>
            <w:vAlign w:val="center"/>
          </w:tcPr>
          <w:p w14:paraId="7BA5B8E7">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2、流媒体处理，对采集的音视频流进行转码、混流、推流等；</w:t>
            </w:r>
          </w:p>
        </w:tc>
      </w:tr>
      <w:tr w14:paraId="1728F3F3">
        <w:tblPrEx>
          <w:tblCellMar>
            <w:top w:w="0" w:type="dxa"/>
            <w:left w:w="108" w:type="dxa"/>
            <w:bottom w:w="0" w:type="dxa"/>
            <w:right w:w="108" w:type="dxa"/>
          </w:tblCellMar>
        </w:tblPrEx>
        <w:trPr>
          <w:trHeight w:val="500" w:hRule="atLeast"/>
        </w:trPr>
        <w:tc>
          <w:tcPr>
            <w:tcW w:w="404" w:type="pct"/>
            <w:vMerge w:val="continue"/>
            <w:tcBorders>
              <w:top w:val="single" w:color="auto" w:sz="4" w:space="0"/>
              <w:left w:val="single" w:color="auto" w:sz="4" w:space="0"/>
              <w:bottom w:val="single" w:color="auto" w:sz="4" w:space="0"/>
              <w:right w:val="single" w:color="auto" w:sz="4" w:space="0"/>
            </w:tcBorders>
            <w:vAlign w:val="center"/>
          </w:tcPr>
          <w:p w14:paraId="697E9ED0">
            <w:pPr>
              <w:widowControl/>
              <w:spacing w:after="0" w:afterLines="0" w:line="240" w:lineRule="auto"/>
              <w:ind w:firstLine="0" w:firstLineChars="0"/>
              <w:jc w:val="left"/>
              <w:rPr>
                <w:rFonts w:ascii="宋体" w:hAnsi="宋体" w:cs="宋体"/>
                <w:color w:val="000000"/>
                <w:kern w:val="0"/>
                <w:sz w:val="24"/>
                <w:szCs w:val="24"/>
              </w:rPr>
            </w:pPr>
          </w:p>
        </w:tc>
        <w:tc>
          <w:tcPr>
            <w:tcW w:w="908" w:type="pct"/>
            <w:vMerge w:val="continue"/>
            <w:tcBorders>
              <w:top w:val="single" w:color="auto" w:sz="4" w:space="0"/>
              <w:left w:val="single" w:color="auto" w:sz="4" w:space="0"/>
              <w:bottom w:val="single" w:color="auto" w:sz="4" w:space="0"/>
              <w:right w:val="single" w:color="auto" w:sz="4" w:space="0"/>
            </w:tcBorders>
            <w:vAlign w:val="center"/>
          </w:tcPr>
          <w:p w14:paraId="2FF1C457">
            <w:pPr>
              <w:widowControl/>
              <w:spacing w:after="0" w:afterLines="0" w:line="240" w:lineRule="auto"/>
              <w:ind w:firstLine="0" w:firstLineChars="0"/>
              <w:jc w:val="left"/>
              <w:rPr>
                <w:rFonts w:ascii="宋体" w:hAnsi="宋体" w:cs="宋体"/>
                <w:b/>
                <w:bCs/>
                <w:color w:val="000000"/>
                <w:kern w:val="0"/>
                <w:sz w:val="24"/>
                <w:szCs w:val="24"/>
              </w:rPr>
            </w:pPr>
          </w:p>
        </w:tc>
        <w:tc>
          <w:tcPr>
            <w:tcW w:w="1247" w:type="pct"/>
            <w:vMerge w:val="continue"/>
            <w:tcBorders>
              <w:top w:val="single" w:color="auto" w:sz="4" w:space="0"/>
              <w:left w:val="single" w:color="auto" w:sz="4" w:space="0"/>
              <w:bottom w:val="single" w:color="auto" w:sz="4" w:space="0"/>
              <w:right w:val="single" w:color="auto" w:sz="4" w:space="0"/>
            </w:tcBorders>
            <w:vAlign w:val="center"/>
          </w:tcPr>
          <w:p w14:paraId="517556DA">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continue"/>
            <w:tcBorders>
              <w:top w:val="nil"/>
              <w:left w:val="single" w:color="auto" w:sz="4" w:space="0"/>
              <w:bottom w:val="single" w:color="auto" w:sz="4" w:space="0"/>
              <w:right w:val="single" w:color="auto" w:sz="4" w:space="0"/>
            </w:tcBorders>
            <w:vAlign w:val="center"/>
          </w:tcPr>
          <w:p w14:paraId="0D7C7901">
            <w:pPr>
              <w:widowControl/>
              <w:spacing w:after="0" w:afterLines="0" w:line="240" w:lineRule="auto"/>
              <w:ind w:firstLine="0" w:firstLineChars="0"/>
              <w:jc w:val="left"/>
              <w:rPr>
                <w:rFonts w:ascii="宋体" w:hAnsi="宋体" w:cs="宋体"/>
                <w:color w:val="000000"/>
                <w:kern w:val="0"/>
                <w:sz w:val="24"/>
                <w:szCs w:val="24"/>
              </w:rPr>
            </w:pPr>
          </w:p>
        </w:tc>
      </w:tr>
      <w:tr w14:paraId="5EAF17F0">
        <w:tblPrEx>
          <w:tblCellMar>
            <w:top w:w="0" w:type="dxa"/>
            <w:left w:w="108" w:type="dxa"/>
            <w:bottom w:w="0" w:type="dxa"/>
            <w:right w:w="108" w:type="dxa"/>
          </w:tblCellMar>
        </w:tblPrEx>
        <w:trPr>
          <w:trHeight w:val="1000" w:hRule="atLeast"/>
        </w:trPr>
        <w:tc>
          <w:tcPr>
            <w:tcW w:w="404" w:type="pct"/>
            <w:vMerge w:val="continue"/>
            <w:tcBorders>
              <w:top w:val="single" w:color="auto" w:sz="4" w:space="0"/>
              <w:left w:val="single" w:color="auto" w:sz="4" w:space="0"/>
              <w:bottom w:val="single" w:color="auto" w:sz="4" w:space="0"/>
              <w:right w:val="single" w:color="auto" w:sz="4" w:space="0"/>
            </w:tcBorders>
            <w:vAlign w:val="center"/>
          </w:tcPr>
          <w:p w14:paraId="0DC50D8C">
            <w:pPr>
              <w:widowControl/>
              <w:spacing w:after="0" w:afterLines="0" w:line="240" w:lineRule="auto"/>
              <w:ind w:firstLine="0" w:firstLineChars="0"/>
              <w:jc w:val="left"/>
              <w:rPr>
                <w:rFonts w:ascii="宋体" w:hAnsi="宋体" w:cs="宋体"/>
                <w:color w:val="000000"/>
                <w:kern w:val="0"/>
                <w:sz w:val="24"/>
                <w:szCs w:val="24"/>
              </w:rPr>
            </w:pPr>
          </w:p>
        </w:tc>
        <w:tc>
          <w:tcPr>
            <w:tcW w:w="908" w:type="pct"/>
            <w:vMerge w:val="continue"/>
            <w:tcBorders>
              <w:top w:val="single" w:color="auto" w:sz="4" w:space="0"/>
              <w:left w:val="single" w:color="auto" w:sz="4" w:space="0"/>
              <w:bottom w:val="single" w:color="auto" w:sz="4" w:space="0"/>
              <w:right w:val="single" w:color="auto" w:sz="4" w:space="0"/>
            </w:tcBorders>
            <w:vAlign w:val="center"/>
          </w:tcPr>
          <w:p w14:paraId="311E9C29">
            <w:pPr>
              <w:widowControl/>
              <w:spacing w:after="0" w:afterLines="0" w:line="240" w:lineRule="auto"/>
              <w:ind w:firstLine="0" w:firstLineChars="0"/>
              <w:jc w:val="left"/>
              <w:rPr>
                <w:rFonts w:ascii="宋体" w:hAnsi="宋体" w:cs="宋体"/>
                <w:b/>
                <w:bCs/>
                <w:color w:val="000000"/>
                <w:kern w:val="0"/>
                <w:sz w:val="24"/>
                <w:szCs w:val="24"/>
              </w:rPr>
            </w:pPr>
          </w:p>
        </w:tc>
        <w:tc>
          <w:tcPr>
            <w:tcW w:w="1247" w:type="pct"/>
            <w:vMerge w:val="continue"/>
            <w:tcBorders>
              <w:top w:val="single" w:color="auto" w:sz="4" w:space="0"/>
              <w:left w:val="single" w:color="auto" w:sz="4" w:space="0"/>
              <w:bottom w:val="single" w:color="auto" w:sz="4" w:space="0"/>
              <w:right w:val="single" w:color="auto" w:sz="4" w:space="0"/>
            </w:tcBorders>
            <w:vAlign w:val="center"/>
          </w:tcPr>
          <w:p w14:paraId="2140D365">
            <w:pPr>
              <w:widowControl/>
              <w:spacing w:after="0" w:afterLines="0" w:line="240" w:lineRule="auto"/>
              <w:ind w:firstLine="0" w:firstLineChars="0"/>
              <w:jc w:val="left"/>
              <w:rPr>
                <w:rFonts w:ascii="宋体" w:hAnsi="宋体" w:cs="宋体"/>
                <w:color w:val="000000"/>
                <w:kern w:val="0"/>
                <w:sz w:val="24"/>
                <w:szCs w:val="24"/>
              </w:rPr>
            </w:pPr>
          </w:p>
        </w:tc>
        <w:tc>
          <w:tcPr>
            <w:tcW w:w="2441" w:type="pct"/>
            <w:tcBorders>
              <w:top w:val="nil"/>
              <w:left w:val="nil"/>
              <w:bottom w:val="single" w:color="auto" w:sz="4" w:space="0"/>
              <w:right w:val="single" w:color="auto" w:sz="4" w:space="0"/>
            </w:tcBorders>
            <w:shd w:val="clear" w:color="auto" w:fill="auto"/>
            <w:vAlign w:val="center"/>
          </w:tcPr>
          <w:p w14:paraId="5C522C3D">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3、见证监督云服务，提供四位一体见证监督整合服务能力。</w:t>
            </w:r>
          </w:p>
        </w:tc>
      </w:tr>
      <w:tr w14:paraId="57F2532B">
        <w:tblPrEx>
          <w:tblCellMar>
            <w:top w:w="0" w:type="dxa"/>
            <w:left w:w="108" w:type="dxa"/>
            <w:bottom w:w="0" w:type="dxa"/>
            <w:right w:w="108" w:type="dxa"/>
          </w:tblCellMar>
        </w:tblPrEx>
        <w:trPr>
          <w:trHeight w:val="1000" w:hRule="atLeast"/>
        </w:trPr>
        <w:tc>
          <w:tcPr>
            <w:tcW w:w="404" w:type="pct"/>
            <w:tcBorders>
              <w:top w:val="nil"/>
              <w:left w:val="single" w:color="auto" w:sz="4" w:space="0"/>
              <w:bottom w:val="single" w:color="auto" w:sz="4" w:space="0"/>
              <w:right w:val="single" w:color="auto" w:sz="4" w:space="0"/>
            </w:tcBorders>
            <w:shd w:val="clear" w:color="auto" w:fill="auto"/>
            <w:vAlign w:val="center"/>
          </w:tcPr>
          <w:p w14:paraId="4AC1E2DB">
            <w:pPr>
              <w:widowControl/>
              <w:spacing w:after="0" w:afterLines="0" w:line="240" w:lineRule="auto"/>
              <w:ind w:firstLine="0" w:firstLineChars="0"/>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908" w:type="pct"/>
            <w:tcBorders>
              <w:top w:val="nil"/>
              <w:left w:val="nil"/>
              <w:bottom w:val="single" w:color="auto" w:sz="4" w:space="0"/>
              <w:right w:val="single" w:color="auto" w:sz="4" w:space="0"/>
            </w:tcBorders>
            <w:shd w:val="clear" w:color="auto" w:fill="auto"/>
            <w:vAlign w:val="center"/>
          </w:tcPr>
          <w:p w14:paraId="659B5BF6">
            <w:pPr>
              <w:widowControl/>
              <w:spacing w:after="0" w:afterLines="0" w:line="240" w:lineRule="auto"/>
              <w:ind w:firstLine="0" w:firstLineChars="0"/>
              <w:jc w:val="center"/>
              <w:rPr>
                <w:rFonts w:ascii="宋体" w:hAnsi="宋体" w:cs="宋体"/>
                <w:b/>
                <w:bCs/>
                <w:color w:val="000000"/>
                <w:kern w:val="0"/>
                <w:sz w:val="24"/>
                <w:szCs w:val="24"/>
              </w:rPr>
            </w:pPr>
            <w:r>
              <w:rPr>
                <w:rFonts w:hint="eastAsia" w:ascii="宋体" w:hAnsi="宋体" w:cs="宋体"/>
                <w:b/>
                <w:bCs/>
                <w:color w:val="000000"/>
                <w:kern w:val="0"/>
                <w:sz w:val="24"/>
                <w:szCs w:val="24"/>
              </w:rPr>
              <w:t>音视频暂存系统</w:t>
            </w:r>
          </w:p>
        </w:tc>
        <w:tc>
          <w:tcPr>
            <w:tcW w:w="1247" w:type="pct"/>
            <w:tcBorders>
              <w:top w:val="nil"/>
              <w:left w:val="nil"/>
              <w:bottom w:val="single" w:color="auto" w:sz="4" w:space="0"/>
              <w:right w:val="single" w:color="auto" w:sz="4" w:space="0"/>
            </w:tcBorders>
            <w:shd w:val="clear" w:color="auto" w:fill="auto"/>
            <w:vAlign w:val="center"/>
          </w:tcPr>
          <w:p w14:paraId="1D47F5F9">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对远程异地评审过程产生的音视频资料提供云端暂存服务。</w:t>
            </w:r>
          </w:p>
        </w:tc>
        <w:tc>
          <w:tcPr>
            <w:tcW w:w="2441" w:type="pct"/>
            <w:tcBorders>
              <w:top w:val="nil"/>
              <w:left w:val="nil"/>
              <w:bottom w:val="single" w:color="auto" w:sz="4" w:space="0"/>
              <w:right w:val="single" w:color="auto" w:sz="4" w:space="0"/>
            </w:tcBorders>
            <w:shd w:val="clear" w:color="auto" w:fill="auto"/>
            <w:vAlign w:val="center"/>
          </w:tcPr>
          <w:p w14:paraId="2A29FADF">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500G滚动云存储，单项目最长存储期限为30天。</w:t>
            </w:r>
          </w:p>
        </w:tc>
      </w:tr>
      <w:tr w14:paraId="77224B8F">
        <w:tblPrEx>
          <w:tblCellMar>
            <w:top w:w="0" w:type="dxa"/>
            <w:left w:w="108" w:type="dxa"/>
            <w:bottom w:w="0" w:type="dxa"/>
            <w:right w:w="108" w:type="dxa"/>
          </w:tblCellMar>
        </w:tblPrEx>
        <w:trPr>
          <w:trHeight w:val="1000" w:hRule="atLeast"/>
        </w:trPr>
        <w:tc>
          <w:tcPr>
            <w:tcW w:w="404" w:type="pct"/>
            <w:tcBorders>
              <w:top w:val="nil"/>
              <w:left w:val="single" w:color="auto" w:sz="4" w:space="0"/>
              <w:bottom w:val="single" w:color="auto" w:sz="4" w:space="0"/>
              <w:right w:val="single" w:color="auto" w:sz="4" w:space="0"/>
            </w:tcBorders>
            <w:shd w:val="clear" w:color="auto" w:fill="auto"/>
            <w:vAlign w:val="center"/>
          </w:tcPr>
          <w:p w14:paraId="20BC86B2">
            <w:pPr>
              <w:widowControl/>
              <w:spacing w:after="0" w:afterLines="0" w:line="240" w:lineRule="auto"/>
              <w:ind w:firstLine="0" w:firstLineChars="0"/>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908" w:type="pct"/>
            <w:tcBorders>
              <w:top w:val="nil"/>
              <w:left w:val="nil"/>
              <w:bottom w:val="single" w:color="auto" w:sz="4" w:space="0"/>
              <w:right w:val="single" w:color="auto" w:sz="4" w:space="0"/>
            </w:tcBorders>
            <w:shd w:val="clear" w:color="auto" w:fill="auto"/>
            <w:vAlign w:val="center"/>
          </w:tcPr>
          <w:p w14:paraId="2CE64F8F">
            <w:pPr>
              <w:widowControl/>
              <w:spacing w:after="0" w:afterLines="0" w:line="240" w:lineRule="auto"/>
              <w:ind w:firstLine="0" w:firstLineChars="0"/>
              <w:jc w:val="center"/>
              <w:rPr>
                <w:rFonts w:ascii="宋体" w:hAnsi="宋体" w:cs="宋体"/>
                <w:b/>
                <w:bCs/>
                <w:color w:val="000000"/>
                <w:kern w:val="0"/>
                <w:sz w:val="24"/>
                <w:szCs w:val="24"/>
              </w:rPr>
            </w:pPr>
            <w:r>
              <w:rPr>
                <w:rFonts w:hint="eastAsia" w:ascii="宋体" w:hAnsi="宋体" w:cs="宋体"/>
                <w:b/>
                <w:bCs/>
                <w:color w:val="000000"/>
                <w:kern w:val="0"/>
                <w:sz w:val="24"/>
                <w:szCs w:val="24"/>
              </w:rPr>
              <w:t>音视频存储调度系统</w:t>
            </w:r>
          </w:p>
        </w:tc>
        <w:tc>
          <w:tcPr>
            <w:tcW w:w="1247" w:type="pct"/>
            <w:tcBorders>
              <w:top w:val="nil"/>
              <w:left w:val="nil"/>
              <w:bottom w:val="single" w:color="auto" w:sz="4" w:space="0"/>
              <w:right w:val="single" w:color="auto" w:sz="4" w:space="0"/>
            </w:tcBorders>
            <w:shd w:val="clear" w:color="auto" w:fill="auto"/>
            <w:vAlign w:val="center"/>
          </w:tcPr>
          <w:p w14:paraId="53898CD8">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根据远程异地评审系统建设单位指定的音视频存储路径归集全部音视频资料。</w:t>
            </w:r>
          </w:p>
        </w:tc>
        <w:tc>
          <w:tcPr>
            <w:tcW w:w="2441" w:type="pct"/>
            <w:tcBorders>
              <w:top w:val="nil"/>
              <w:left w:val="nil"/>
              <w:bottom w:val="single" w:color="auto" w:sz="4" w:space="0"/>
              <w:right w:val="single" w:color="auto" w:sz="4" w:space="0"/>
            </w:tcBorders>
            <w:shd w:val="clear" w:color="auto" w:fill="auto"/>
            <w:vAlign w:val="center"/>
          </w:tcPr>
          <w:p w14:paraId="0DFB1FC8">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自动拼接、拉取主、分会场音视频信息，并将其存储至远程异地评审系统建设单位指定的音视频存储路径。</w:t>
            </w:r>
          </w:p>
        </w:tc>
      </w:tr>
      <w:tr w14:paraId="59C322D1">
        <w:tblPrEx>
          <w:tblCellMar>
            <w:top w:w="0" w:type="dxa"/>
            <w:left w:w="108" w:type="dxa"/>
            <w:bottom w:w="0" w:type="dxa"/>
            <w:right w:w="108" w:type="dxa"/>
          </w:tblCellMar>
        </w:tblPrEx>
        <w:trPr>
          <w:trHeight w:val="500" w:hRule="atLeast"/>
        </w:trPr>
        <w:tc>
          <w:tcPr>
            <w:tcW w:w="404" w:type="pct"/>
            <w:vMerge w:val="restart"/>
            <w:tcBorders>
              <w:top w:val="nil"/>
              <w:left w:val="single" w:color="auto" w:sz="4" w:space="0"/>
              <w:bottom w:val="single" w:color="auto" w:sz="4" w:space="0"/>
              <w:right w:val="single" w:color="auto" w:sz="4" w:space="0"/>
            </w:tcBorders>
            <w:shd w:val="clear" w:color="auto" w:fill="auto"/>
            <w:vAlign w:val="center"/>
          </w:tcPr>
          <w:p w14:paraId="25DEB3DE">
            <w:pPr>
              <w:widowControl/>
              <w:spacing w:after="0" w:afterLines="0" w:line="240" w:lineRule="auto"/>
              <w:ind w:firstLine="0" w:firstLineChars="0"/>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908" w:type="pct"/>
            <w:vMerge w:val="restart"/>
            <w:tcBorders>
              <w:top w:val="nil"/>
              <w:left w:val="single" w:color="auto" w:sz="4" w:space="0"/>
              <w:bottom w:val="single" w:color="auto" w:sz="4" w:space="0"/>
              <w:right w:val="single" w:color="auto" w:sz="4" w:space="0"/>
            </w:tcBorders>
            <w:shd w:val="clear" w:color="auto" w:fill="auto"/>
            <w:vAlign w:val="center"/>
          </w:tcPr>
          <w:p w14:paraId="6492BED5">
            <w:pPr>
              <w:widowControl/>
              <w:spacing w:after="0" w:afterLines="0" w:line="240" w:lineRule="auto"/>
              <w:ind w:firstLine="0" w:firstLineChars="0"/>
              <w:jc w:val="center"/>
              <w:rPr>
                <w:rFonts w:ascii="宋体" w:hAnsi="宋体" w:cs="宋体"/>
                <w:b/>
                <w:bCs/>
                <w:color w:val="000000"/>
                <w:kern w:val="0"/>
                <w:sz w:val="24"/>
                <w:szCs w:val="24"/>
              </w:rPr>
            </w:pPr>
            <w:r>
              <w:rPr>
                <w:rFonts w:hint="eastAsia" w:ascii="宋体" w:hAnsi="宋体" w:cs="宋体"/>
                <w:b/>
                <w:bCs/>
                <w:color w:val="000000"/>
                <w:kern w:val="0"/>
                <w:sz w:val="24"/>
                <w:szCs w:val="24"/>
              </w:rPr>
              <w:t>费用结算系统</w:t>
            </w:r>
          </w:p>
        </w:tc>
        <w:tc>
          <w:tcPr>
            <w:tcW w:w="1247" w:type="pct"/>
            <w:vMerge w:val="restart"/>
            <w:tcBorders>
              <w:top w:val="nil"/>
              <w:left w:val="single" w:color="auto" w:sz="4" w:space="0"/>
              <w:bottom w:val="single" w:color="auto" w:sz="4" w:space="0"/>
              <w:right w:val="single" w:color="auto" w:sz="4" w:space="0"/>
            </w:tcBorders>
            <w:shd w:val="clear" w:color="auto" w:fill="auto"/>
            <w:vAlign w:val="center"/>
          </w:tcPr>
          <w:p w14:paraId="0DF1B07D">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配置远程异地场地费用、评审专家费用等费用的结算规则，并支持费用结算信息生成以及对接场地费用结算系统和专家费用结算系统。</w:t>
            </w:r>
          </w:p>
        </w:tc>
        <w:tc>
          <w:tcPr>
            <w:tcW w:w="2441" w:type="pct"/>
            <w:vMerge w:val="restart"/>
            <w:tcBorders>
              <w:top w:val="nil"/>
              <w:left w:val="single" w:color="auto" w:sz="4" w:space="0"/>
              <w:bottom w:val="single" w:color="auto" w:sz="4" w:space="0"/>
              <w:right w:val="single" w:color="auto" w:sz="4" w:space="0"/>
            </w:tcBorders>
            <w:shd w:val="clear" w:color="auto" w:fill="auto"/>
            <w:vAlign w:val="center"/>
          </w:tcPr>
          <w:p w14:paraId="3321BF26">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1、支持根据区划等要素设置场地费用、专家费用等结算规则；</w:t>
            </w:r>
          </w:p>
        </w:tc>
      </w:tr>
      <w:tr w14:paraId="4EDD404B">
        <w:tblPrEx>
          <w:tblCellMar>
            <w:top w:w="0" w:type="dxa"/>
            <w:left w:w="108" w:type="dxa"/>
            <w:bottom w:w="0" w:type="dxa"/>
            <w:right w:w="108" w:type="dxa"/>
          </w:tblCellMar>
        </w:tblPrEx>
        <w:trPr>
          <w:trHeight w:val="500" w:hRule="atLeast"/>
        </w:trPr>
        <w:tc>
          <w:tcPr>
            <w:tcW w:w="404" w:type="pct"/>
            <w:vMerge w:val="continue"/>
            <w:tcBorders>
              <w:top w:val="nil"/>
              <w:left w:val="single" w:color="auto" w:sz="4" w:space="0"/>
              <w:bottom w:val="single" w:color="auto" w:sz="4" w:space="0"/>
              <w:right w:val="single" w:color="auto" w:sz="4" w:space="0"/>
            </w:tcBorders>
            <w:vAlign w:val="center"/>
          </w:tcPr>
          <w:p w14:paraId="3554E6D9">
            <w:pPr>
              <w:widowControl/>
              <w:spacing w:after="0" w:afterLines="0" w:line="240" w:lineRule="auto"/>
              <w:ind w:firstLine="0" w:firstLineChars="0"/>
              <w:jc w:val="left"/>
              <w:rPr>
                <w:rFonts w:ascii="宋体" w:hAnsi="宋体" w:cs="宋体"/>
                <w:color w:val="000000"/>
                <w:kern w:val="0"/>
                <w:sz w:val="24"/>
                <w:szCs w:val="24"/>
              </w:rPr>
            </w:pPr>
          </w:p>
        </w:tc>
        <w:tc>
          <w:tcPr>
            <w:tcW w:w="908" w:type="pct"/>
            <w:vMerge w:val="continue"/>
            <w:tcBorders>
              <w:top w:val="nil"/>
              <w:left w:val="single" w:color="auto" w:sz="4" w:space="0"/>
              <w:bottom w:val="single" w:color="auto" w:sz="4" w:space="0"/>
              <w:right w:val="single" w:color="auto" w:sz="4" w:space="0"/>
            </w:tcBorders>
            <w:vAlign w:val="center"/>
          </w:tcPr>
          <w:p w14:paraId="220C243E">
            <w:pPr>
              <w:widowControl/>
              <w:spacing w:after="0" w:afterLines="0" w:line="240" w:lineRule="auto"/>
              <w:ind w:firstLine="0" w:firstLineChars="0"/>
              <w:jc w:val="left"/>
              <w:rPr>
                <w:rFonts w:ascii="宋体" w:hAnsi="宋体" w:cs="宋体"/>
                <w:b/>
                <w:bCs/>
                <w:color w:val="000000"/>
                <w:kern w:val="0"/>
                <w:sz w:val="24"/>
                <w:szCs w:val="24"/>
              </w:rPr>
            </w:pPr>
          </w:p>
        </w:tc>
        <w:tc>
          <w:tcPr>
            <w:tcW w:w="1247" w:type="pct"/>
            <w:vMerge w:val="continue"/>
            <w:tcBorders>
              <w:top w:val="nil"/>
              <w:left w:val="single" w:color="auto" w:sz="4" w:space="0"/>
              <w:bottom w:val="single" w:color="auto" w:sz="4" w:space="0"/>
              <w:right w:val="single" w:color="auto" w:sz="4" w:space="0"/>
            </w:tcBorders>
            <w:vAlign w:val="center"/>
          </w:tcPr>
          <w:p w14:paraId="26F50523">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continue"/>
            <w:tcBorders>
              <w:top w:val="nil"/>
              <w:left w:val="single" w:color="auto" w:sz="4" w:space="0"/>
              <w:bottom w:val="single" w:color="auto" w:sz="4" w:space="0"/>
              <w:right w:val="single" w:color="auto" w:sz="4" w:space="0"/>
            </w:tcBorders>
            <w:vAlign w:val="center"/>
          </w:tcPr>
          <w:p w14:paraId="1CC23610">
            <w:pPr>
              <w:widowControl/>
              <w:spacing w:after="0" w:afterLines="0" w:line="240" w:lineRule="auto"/>
              <w:ind w:firstLine="0" w:firstLineChars="0"/>
              <w:jc w:val="left"/>
              <w:rPr>
                <w:rFonts w:ascii="宋体" w:hAnsi="宋体" w:cs="宋体"/>
                <w:color w:val="000000"/>
                <w:kern w:val="0"/>
                <w:sz w:val="24"/>
                <w:szCs w:val="24"/>
              </w:rPr>
            </w:pPr>
          </w:p>
        </w:tc>
      </w:tr>
      <w:tr w14:paraId="0C7C8F53">
        <w:tblPrEx>
          <w:tblCellMar>
            <w:top w:w="0" w:type="dxa"/>
            <w:left w:w="108" w:type="dxa"/>
            <w:bottom w:w="0" w:type="dxa"/>
            <w:right w:w="108" w:type="dxa"/>
          </w:tblCellMar>
        </w:tblPrEx>
        <w:trPr>
          <w:trHeight w:val="500" w:hRule="atLeast"/>
        </w:trPr>
        <w:tc>
          <w:tcPr>
            <w:tcW w:w="404" w:type="pct"/>
            <w:vMerge w:val="continue"/>
            <w:tcBorders>
              <w:top w:val="nil"/>
              <w:left w:val="single" w:color="auto" w:sz="4" w:space="0"/>
              <w:bottom w:val="single" w:color="auto" w:sz="4" w:space="0"/>
              <w:right w:val="single" w:color="auto" w:sz="4" w:space="0"/>
            </w:tcBorders>
            <w:vAlign w:val="center"/>
          </w:tcPr>
          <w:p w14:paraId="12AF74E9">
            <w:pPr>
              <w:widowControl/>
              <w:spacing w:after="0" w:afterLines="0" w:line="240" w:lineRule="auto"/>
              <w:ind w:firstLine="0" w:firstLineChars="0"/>
              <w:jc w:val="left"/>
              <w:rPr>
                <w:rFonts w:ascii="宋体" w:hAnsi="宋体" w:cs="宋体"/>
                <w:color w:val="000000"/>
                <w:kern w:val="0"/>
                <w:sz w:val="24"/>
                <w:szCs w:val="24"/>
              </w:rPr>
            </w:pPr>
          </w:p>
        </w:tc>
        <w:tc>
          <w:tcPr>
            <w:tcW w:w="908" w:type="pct"/>
            <w:vMerge w:val="continue"/>
            <w:tcBorders>
              <w:top w:val="nil"/>
              <w:left w:val="single" w:color="auto" w:sz="4" w:space="0"/>
              <w:bottom w:val="single" w:color="auto" w:sz="4" w:space="0"/>
              <w:right w:val="single" w:color="auto" w:sz="4" w:space="0"/>
            </w:tcBorders>
            <w:vAlign w:val="center"/>
          </w:tcPr>
          <w:p w14:paraId="7223EABB">
            <w:pPr>
              <w:widowControl/>
              <w:spacing w:after="0" w:afterLines="0" w:line="240" w:lineRule="auto"/>
              <w:ind w:firstLine="0" w:firstLineChars="0"/>
              <w:jc w:val="left"/>
              <w:rPr>
                <w:rFonts w:ascii="宋体" w:hAnsi="宋体" w:cs="宋体"/>
                <w:b/>
                <w:bCs/>
                <w:color w:val="000000"/>
                <w:kern w:val="0"/>
                <w:sz w:val="24"/>
                <w:szCs w:val="24"/>
              </w:rPr>
            </w:pPr>
          </w:p>
        </w:tc>
        <w:tc>
          <w:tcPr>
            <w:tcW w:w="1247" w:type="pct"/>
            <w:vMerge w:val="continue"/>
            <w:tcBorders>
              <w:top w:val="nil"/>
              <w:left w:val="single" w:color="auto" w:sz="4" w:space="0"/>
              <w:bottom w:val="single" w:color="auto" w:sz="4" w:space="0"/>
              <w:right w:val="single" w:color="auto" w:sz="4" w:space="0"/>
            </w:tcBorders>
            <w:vAlign w:val="center"/>
          </w:tcPr>
          <w:p w14:paraId="01F82906">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restart"/>
            <w:tcBorders>
              <w:top w:val="nil"/>
              <w:left w:val="single" w:color="auto" w:sz="4" w:space="0"/>
              <w:bottom w:val="single" w:color="auto" w:sz="4" w:space="0"/>
              <w:right w:val="single" w:color="auto" w:sz="4" w:space="0"/>
            </w:tcBorders>
            <w:shd w:val="clear" w:color="auto" w:fill="auto"/>
            <w:vAlign w:val="center"/>
          </w:tcPr>
          <w:p w14:paraId="48BF422C">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2、远程异地评审工作结束后，根据各项费用结算规则自动生成费用结算信息；</w:t>
            </w:r>
          </w:p>
        </w:tc>
      </w:tr>
      <w:tr w14:paraId="4C02D695">
        <w:tblPrEx>
          <w:tblCellMar>
            <w:top w:w="0" w:type="dxa"/>
            <w:left w:w="108" w:type="dxa"/>
            <w:bottom w:w="0" w:type="dxa"/>
            <w:right w:w="108" w:type="dxa"/>
          </w:tblCellMar>
        </w:tblPrEx>
        <w:trPr>
          <w:trHeight w:val="500" w:hRule="atLeast"/>
        </w:trPr>
        <w:tc>
          <w:tcPr>
            <w:tcW w:w="404" w:type="pct"/>
            <w:vMerge w:val="continue"/>
            <w:tcBorders>
              <w:top w:val="nil"/>
              <w:left w:val="single" w:color="auto" w:sz="4" w:space="0"/>
              <w:bottom w:val="single" w:color="auto" w:sz="4" w:space="0"/>
              <w:right w:val="single" w:color="auto" w:sz="4" w:space="0"/>
            </w:tcBorders>
            <w:vAlign w:val="center"/>
          </w:tcPr>
          <w:p w14:paraId="67788627">
            <w:pPr>
              <w:widowControl/>
              <w:spacing w:after="0" w:afterLines="0" w:line="240" w:lineRule="auto"/>
              <w:ind w:firstLine="0" w:firstLineChars="0"/>
              <w:jc w:val="left"/>
              <w:rPr>
                <w:rFonts w:ascii="宋体" w:hAnsi="宋体" w:cs="宋体"/>
                <w:color w:val="000000"/>
                <w:kern w:val="0"/>
                <w:sz w:val="24"/>
                <w:szCs w:val="24"/>
              </w:rPr>
            </w:pPr>
          </w:p>
        </w:tc>
        <w:tc>
          <w:tcPr>
            <w:tcW w:w="908" w:type="pct"/>
            <w:vMerge w:val="continue"/>
            <w:tcBorders>
              <w:top w:val="nil"/>
              <w:left w:val="single" w:color="auto" w:sz="4" w:space="0"/>
              <w:bottom w:val="single" w:color="auto" w:sz="4" w:space="0"/>
              <w:right w:val="single" w:color="auto" w:sz="4" w:space="0"/>
            </w:tcBorders>
            <w:vAlign w:val="center"/>
          </w:tcPr>
          <w:p w14:paraId="66EB77E6">
            <w:pPr>
              <w:widowControl/>
              <w:spacing w:after="0" w:afterLines="0" w:line="240" w:lineRule="auto"/>
              <w:ind w:firstLine="0" w:firstLineChars="0"/>
              <w:jc w:val="left"/>
              <w:rPr>
                <w:rFonts w:ascii="宋体" w:hAnsi="宋体" w:cs="宋体"/>
                <w:b/>
                <w:bCs/>
                <w:color w:val="000000"/>
                <w:kern w:val="0"/>
                <w:sz w:val="24"/>
                <w:szCs w:val="24"/>
              </w:rPr>
            </w:pPr>
          </w:p>
        </w:tc>
        <w:tc>
          <w:tcPr>
            <w:tcW w:w="1247" w:type="pct"/>
            <w:vMerge w:val="continue"/>
            <w:tcBorders>
              <w:top w:val="nil"/>
              <w:left w:val="single" w:color="auto" w:sz="4" w:space="0"/>
              <w:bottom w:val="single" w:color="auto" w:sz="4" w:space="0"/>
              <w:right w:val="single" w:color="auto" w:sz="4" w:space="0"/>
            </w:tcBorders>
            <w:vAlign w:val="center"/>
          </w:tcPr>
          <w:p w14:paraId="6C56E8C1">
            <w:pPr>
              <w:widowControl/>
              <w:spacing w:after="0" w:afterLines="0" w:line="240" w:lineRule="auto"/>
              <w:ind w:firstLine="0" w:firstLineChars="0"/>
              <w:jc w:val="left"/>
              <w:rPr>
                <w:rFonts w:ascii="宋体" w:hAnsi="宋体" w:cs="宋体"/>
                <w:color w:val="000000"/>
                <w:kern w:val="0"/>
                <w:sz w:val="24"/>
                <w:szCs w:val="24"/>
              </w:rPr>
            </w:pPr>
          </w:p>
        </w:tc>
        <w:tc>
          <w:tcPr>
            <w:tcW w:w="2441" w:type="pct"/>
            <w:vMerge w:val="continue"/>
            <w:tcBorders>
              <w:top w:val="nil"/>
              <w:left w:val="single" w:color="auto" w:sz="4" w:space="0"/>
              <w:bottom w:val="single" w:color="auto" w:sz="4" w:space="0"/>
              <w:right w:val="single" w:color="auto" w:sz="4" w:space="0"/>
            </w:tcBorders>
            <w:vAlign w:val="center"/>
          </w:tcPr>
          <w:p w14:paraId="04DB50B0">
            <w:pPr>
              <w:widowControl/>
              <w:spacing w:after="0" w:afterLines="0" w:line="240" w:lineRule="auto"/>
              <w:ind w:firstLine="0" w:firstLineChars="0"/>
              <w:jc w:val="left"/>
              <w:rPr>
                <w:rFonts w:ascii="宋体" w:hAnsi="宋体" w:cs="宋体"/>
                <w:color w:val="000000"/>
                <w:kern w:val="0"/>
                <w:sz w:val="24"/>
                <w:szCs w:val="24"/>
              </w:rPr>
            </w:pPr>
          </w:p>
        </w:tc>
      </w:tr>
      <w:tr w14:paraId="3BD7013C">
        <w:tblPrEx>
          <w:tblCellMar>
            <w:top w:w="0" w:type="dxa"/>
            <w:left w:w="108" w:type="dxa"/>
            <w:bottom w:w="0" w:type="dxa"/>
            <w:right w:w="108" w:type="dxa"/>
          </w:tblCellMar>
        </w:tblPrEx>
        <w:trPr>
          <w:trHeight w:val="1000" w:hRule="atLeast"/>
        </w:trPr>
        <w:tc>
          <w:tcPr>
            <w:tcW w:w="404" w:type="pct"/>
            <w:vMerge w:val="continue"/>
            <w:tcBorders>
              <w:top w:val="nil"/>
              <w:left w:val="single" w:color="auto" w:sz="4" w:space="0"/>
              <w:bottom w:val="single" w:color="auto" w:sz="4" w:space="0"/>
              <w:right w:val="single" w:color="auto" w:sz="4" w:space="0"/>
            </w:tcBorders>
            <w:vAlign w:val="center"/>
          </w:tcPr>
          <w:p w14:paraId="5A44E477">
            <w:pPr>
              <w:widowControl/>
              <w:spacing w:after="0" w:afterLines="0" w:line="240" w:lineRule="auto"/>
              <w:ind w:firstLine="0" w:firstLineChars="0"/>
              <w:jc w:val="left"/>
              <w:rPr>
                <w:rFonts w:ascii="宋体" w:hAnsi="宋体" w:cs="宋体"/>
                <w:color w:val="000000"/>
                <w:kern w:val="0"/>
                <w:sz w:val="24"/>
                <w:szCs w:val="24"/>
              </w:rPr>
            </w:pPr>
          </w:p>
        </w:tc>
        <w:tc>
          <w:tcPr>
            <w:tcW w:w="908" w:type="pct"/>
            <w:vMerge w:val="continue"/>
            <w:tcBorders>
              <w:top w:val="nil"/>
              <w:left w:val="single" w:color="auto" w:sz="4" w:space="0"/>
              <w:bottom w:val="single" w:color="auto" w:sz="4" w:space="0"/>
              <w:right w:val="single" w:color="auto" w:sz="4" w:space="0"/>
            </w:tcBorders>
            <w:vAlign w:val="center"/>
          </w:tcPr>
          <w:p w14:paraId="149E8DA7">
            <w:pPr>
              <w:widowControl/>
              <w:spacing w:after="0" w:afterLines="0" w:line="240" w:lineRule="auto"/>
              <w:ind w:firstLine="0" w:firstLineChars="0"/>
              <w:jc w:val="left"/>
              <w:rPr>
                <w:rFonts w:ascii="宋体" w:hAnsi="宋体" w:cs="宋体"/>
                <w:b/>
                <w:bCs/>
                <w:color w:val="000000"/>
                <w:kern w:val="0"/>
                <w:sz w:val="24"/>
                <w:szCs w:val="24"/>
              </w:rPr>
            </w:pPr>
          </w:p>
        </w:tc>
        <w:tc>
          <w:tcPr>
            <w:tcW w:w="1247" w:type="pct"/>
            <w:vMerge w:val="continue"/>
            <w:tcBorders>
              <w:top w:val="nil"/>
              <w:left w:val="single" w:color="auto" w:sz="4" w:space="0"/>
              <w:bottom w:val="single" w:color="auto" w:sz="4" w:space="0"/>
              <w:right w:val="single" w:color="auto" w:sz="4" w:space="0"/>
            </w:tcBorders>
            <w:vAlign w:val="center"/>
          </w:tcPr>
          <w:p w14:paraId="255A7BA4">
            <w:pPr>
              <w:widowControl/>
              <w:spacing w:after="0" w:afterLines="0" w:line="240" w:lineRule="auto"/>
              <w:ind w:firstLine="0" w:firstLineChars="0"/>
              <w:jc w:val="left"/>
              <w:rPr>
                <w:rFonts w:ascii="宋体" w:hAnsi="宋体" w:cs="宋体"/>
                <w:color w:val="000000"/>
                <w:kern w:val="0"/>
                <w:sz w:val="24"/>
                <w:szCs w:val="24"/>
              </w:rPr>
            </w:pPr>
          </w:p>
        </w:tc>
        <w:tc>
          <w:tcPr>
            <w:tcW w:w="2441" w:type="pct"/>
            <w:tcBorders>
              <w:top w:val="nil"/>
              <w:left w:val="nil"/>
              <w:bottom w:val="single" w:color="auto" w:sz="4" w:space="0"/>
              <w:right w:val="single" w:color="auto" w:sz="4" w:space="0"/>
            </w:tcBorders>
            <w:shd w:val="clear" w:color="auto" w:fill="auto"/>
            <w:vAlign w:val="center"/>
          </w:tcPr>
          <w:p w14:paraId="0017A036">
            <w:pPr>
              <w:widowControl/>
              <w:spacing w:after="0" w:afterLines="0" w:line="240" w:lineRule="auto"/>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3、对接场地费用结算系统和专家费用结算系统，提供费用结算信息。</w:t>
            </w:r>
          </w:p>
        </w:tc>
      </w:tr>
    </w:tbl>
    <w:p w14:paraId="44C7FF95">
      <w:pPr>
        <w:pStyle w:val="8"/>
        <w:spacing w:after="190"/>
        <w:ind w:firstLine="560"/>
      </w:pPr>
    </w:p>
    <w:p w14:paraId="71FAB34E">
      <w:pPr>
        <w:pStyle w:val="3"/>
        <w:numPr>
          <w:ilvl w:val="0"/>
          <w:numId w:val="0"/>
        </w:numPr>
        <w:ind w:left="643" w:leftChars="0"/>
        <w:rPr>
          <w:rFonts w:ascii="宋体" w:hAnsi="宋体" w:eastAsia="宋体" w:cs="宋体"/>
        </w:rPr>
      </w:pPr>
      <w:bookmarkStart w:id="7" w:name="_Toc121239944"/>
      <w:r>
        <w:rPr>
          <w:rFonts w:hint="eastAsia" w:ascii="宋体" w:hAnsi="宋体" w:eastAsia="宋体" w:cs="宋体"/>
          <w:lang w:val="en-US" w:eastAsia="zh-CN"/>
        </w:rPr>
        <w:t>3.</w:t>
      </w:r>
      <w:r>
        <w:rPr>
          <w:rFonts w:hint="eastAsia" w:ascii="宋体" w:hAnsi="宋体" w:eastAsia="宋体" w:cs="宋体"/>
        </w:rPr>
        <w:t>场景接口适配服务</w:t>
      </w:r>
      <w:bookmarkEnd w:id="7"/>
    </w:p>
    <w:p w14:paraId="0C752146">
      <w:pPr>
        <w:spacing w:after="190"/>
        <w:ind w:firstLine="560"/>
        <w:rPr>
          <w:rFonts w:ascii="宋体" w:hAnsi="宋体" w:cs="宋体"/>
          <w:sz w:val="28"/>
          <w:szCs w:val="28"/>
        </w:rPr>
      </w:pPr>
      <w:bookmarkStart w:id="8" w:name="_Toc4340"/>
      <w:r>
        <w:rPr>
          <w:rFonts w:hint="eastAsia" w:ascii="宋体" w:hAnsi="宋体" w:cs="宋体"/>
          <w:sz w:val="28"/>
          <w:szCs w:val="28"/>
        </w:rPr>
        <w:t>项目运行服务方提供远程异地评审系统相关接口开发及联调测试等服务。因各地区建设单位的远程异地评审场地存在接口类型、系统供应商等差异，项目运行服务方应根据建设方提供的场所设计相关接口内容，提供并设计个性化的场景接口方案。同时安排工作人员对拟建远程异地评审系统场地进行实地调研，收集并梳理评审场地相关接口需求。工作人员根据已收集和整理的接口需求，为建设方提供多场景解决方案，经与建设方确认接口方案后，协同建设方接口服务商进行技术论证、通道接口研发、实施对接接口联调，实现正式上线。完成各场景接口对接后，项目运行服务方应为建设单位提供相应接口的运行管理服务。</w:t>
      </w:r>
    </w:p>
    <w:p w14:paraId="7817775E">
      <w:pPr>
        <w:spacing w:after="190"/>
        <w:ind w:firstLine="560"/>
        <w:rPr>
          <w:rFonts w:ascii="宋体" w:hAnsi="宋体" w:cs="宋体"/>
          <w:sz w:val="28"/>
          <w:szCs w:val="28"/>
        </w:rPr>
      </w:pPr>
      <w:r>
        <w:rPr>
          <w:rFonts w:hint="eastAsia" w:ascii="宋体" w:hAnsi="宋体" w:cs="宋体"/>
          <w:sz w:val="28"/>
          <w:szCs w:val="28"/>
        </w:rPr>
        <w:t>针对系统接口日常管理，主要提供以下运行服务：</w:t>
      </w:r>
    </w:p>
    <w:p w14:paraId="11C04DCF">
      <w:pPr>
        <w:numPr>
          <w:ilvl w:val="0"/>
          <w:numId w:val="2"/>
        </w:numPr>
        <w:tabs>
          <w:tab w:val="left" w:pos="851"/>
        </w:tabs>
        <w:spacing w:after="190"/>
        <w:ind w:left="0" w:firstLine="495" w:firstLineChars="177"/>
        <w:rPr>
          <w:rFonts w:ascii="宋体" w:hAnsi="宋体" w:cs="宋体"/>
          <w:sz w:val="28"/>
          <w:szCs w:val="28"/>
        </w:rPr>
      </w:pPr>
      <w:r>
        <w:rPr>
          <w:rFonts w:hint="eastAsia" w:ascii="宋体" w:hAnsi="宋体" w:cs="宋体"/>
          <w:sz w:val="28"/>
          <w:szCs w:val="28"/>
        </w:rPr>
        <w:t>接口信息维护服务，已对接的接口登记接口信息，地址，访问密钥配置及定期更新，根据政策变化及时更新或调整相应接口对接信息；</w:t>
      </w:r>
    </w:p>
    <w:p w14:paraId="29BCC8C4">
      <w:pPr>
        <w:numPr>
          <w:ilvl w:val="0"/>
          <w:numId w:val="2"/>
        </w:numPr>
        <w:tabs>
          <w:tab w:val="left" w:pos="851"/>
        </w:tabs>
        <w:spacing w:after="190"/>
        <w:ind w:left="0" w:firstLine="495" w:firstLineChars="177"/>
        <w:rPr>
          <w:rFonts w:ascii="宋体" w:hAnsi="宋体" w:cs="宋体"/>
          <w:sz w:val="28"/>
          <w:szCs w:val="28"/>
        </w:rPr>
      </w:pPr>
      <w:r>
        <w:rPr>
          <w:rFonts w:hint="eastAsia" w:ascii="宋体" w:hAnsi="宋体" w:cs="宋体"/>
          <w:sz w:val="28"/>
          <w:szCs w:val="28"/>
        </w:rPr>
        <w:t>接口审批流程配置服务，针对不同接口接入，按照业务部门要求进行审批流程按需配置，实现接口按需访问，防止越权访问；</w:t>
      </w:r>
    </w:p>
    <w:p w14:paraId="462A40FF">
      <w:pPr>
        <w:numPr>
          <w:ilvl w:val="0"/>
          <w:numId w:val="2"/>
        </w:numPr>
        <w:tabs>
          <w:tab w:val="left" w:pos="851"/>
        </w:tabs>
        <w:spacing w:after="190"/>
        <w:ind w:left="0" w:firstLine="495" w:firstLineChars="177"/>
        <w:rPr>
          <w:rFonts w:ascii="宋体" w:hAnsi="宋体" w:cs="宋体"/>
          <w:sz w:val="28"/>
          <w:szCs w:val="28"/>
        </w:rPr>
      </w:pPr>
      <w:r>
        <w:rPr>
          <w:rFonts w:hint="eastAsia" w:ascii="宋体" w:hAnsi="宋体" w:cs="宋体"/>
          <w:sz w:val="28"/>
          <w:szCs w:val="28"/>
        </w:rPr>
        <w:t>接口统一身份认证服务配置，根据配置规则及身份认证规则，识别该用户的针对接口请求的权限是否有效，规则根据需求灵活实时配置调整；</w:t>
      </w:r>
    </w:p>
    <w:p w14:paraId="22AB82CB">
      <w:pPr>
        <w:numPr>
          <w:ilvl w:val="0"/>
          <w:numId w:val="2"/>
        </w:numPr>
        <w:tabs>
          <w:tab w:val="left" w:pos="851"/>
        </w:tabs>
        <w:spacing w:after="190"/>
        <w:ind w:left="0" w:firstLine="495" w:firstLineChars="177"/>
        <w:rPr>
          <w:rFonts w:ascii="宋体" w:hAnsi="宋体" w:cs="宋体"/>
          <w:sz w:val="28"/>
          <w:szCs w:val="28"/>
        </w:rPr>
      </w:pPr>
      <w:r>
        <w:rPr>
          <w:rFonts w:hint="eastAsia" w:ascii="宋体" w:hAnsi="宋体" w:cs="宋体"/>
          <w:sz w:val="28"/>
          <w:szCs w:val="28"/>
        </w:rPr>
        <w:t>接口数据交互日志维护，进行不同接口日志的分类管理，存储路径规划，异常日志提醒及预警规则配置，短信及系统提醒维护；</w:t>
      </w:r>
    </w:p>
    <w:p w14:paraId="3EF293BF">
      <w:pPr>
        <w:numPr>
          <w:ilvl w:val="0"/>
          <w:numId w:val="2"/>
        </w:numPr>
        <w:tabs>
          <w:tab w:val="left" w:pos="851"/>
        </w:tabs>
        <w:spacing w:after="190"/>
        <w:ind w:left="0" w:firstLine="495" w:firstLineChars="177"/>
        <w:rPr>
          <w:rFonts w:ascii="宋体" w:hAnsi="宋体" w:cs="宋体"/>
          <w:sz w:val="28"/>
          <w:szCs w:val="28"/>
        </w:rPr>
      </w:pPr>
      <w:r>
        <w:rPr>
          <w:rFonts w:hint="eastAsia" w:ascii="宋体" w:hAnsi="宋体" w:cs="宋体"/>
          <w:sz w:val="28"/>
          <w:szCs w:val="28"/>
        </w:rPr>
        <w:t>接口状态监控维护，部署维护链路监控服务，监听每个接口的状态是否正常，配置相应监控预警展示界面，发现接口异常时及时提醒运行服务人员；</w:t>
      </w:r>
    </w:p>
    <w:p w14:paraId="6D3B5AC7">
      <w:pPr>
        <w:numPr>
          <w:ilvl w:val="0"/>
          <w:numId w:val="2"/>
        </w:numPr>
        <w:tabs>
          <w:tab w:val="left" w:pos="851"/>
        </w:tabs>
        <w:spacing w:after="190"/>
        <w:ind w:left="0" w:firstLine="495" w:firstLineChars="177"/>
        <w:rPr>
          <w:rFonts w:ascii="宋体" w:hAnsi="宋体" w:cs="宋体"/>
          <w:sz w:val="28"/>
          <w:szCs w:val="28"/>
        </w:rPr>
      </w:pPr>
      <w:r>
        <w:rPr>
          <w:rFonts w:hint="eastAsia" w:ascii="宋体" w:hAnsi="宋体" w:cs="宋体"/>
          <w:sz w:val="28"/>
          <w:szCs w:val="28"/>
        </w:rPr>
        <w:t>接口日志审计服务，根据日志审计需求，配置不同审计服务。</w:t>
      </w:r>
      <w:bookmarkEnd w:id="8"/>
    </w:p>
    <w:p w14:paraId="340B2B43">
      <w:pPr>
        <w:pStyle w:val="5"/>
        <w:ind w:firstLine="560"/>
        <w:rPr>
          <w:rFonts w:ascii="宋体" w:hAnsi="宋体" w:eastAsia="宋体"/>
          <w:b w:val="0"/>
          <w:bCs/>
          <w:sz w:val="28"/>
          <w:szCs w:val="28"/>
        </w:rPr>
      </w:pPr>
      <w:r>
        <w:rPr>
          <w:rFonts w:hint="eastAsia" w:ascii="宋体" w:hAnsi="宋体" w:eastAsia="宋体"/>
          <w:b w:val="0"/>
          <w:bCs/>
          <w:sz w:val="28"/>
          <w:szCs w:val="28"/>
          <w:lang w:val="en-US" w:eastAsia="zh-CN"/>
        </w:rPr>
        <w:t>3.1</w:t>
      </w:r>
      <w:r>
        <w:rPr>
          <w:rFonts w:hint="eastAsia" w:ascii="宋体" w:hAnsi="宋体" w:eastAsia="宋体"/>
          <w:b w:val="0"/>
          <w:bCs/>
          <w:sz w:val="28"/>
          <w:szCs w:val="28"/>
        </w:rPr>
        <w:t>数字证书和电子签章互认服务</w:t>
      </w:r>
    </w:p>
    <w:p w14:paraId="01D76A51">
      <w:pPr>
        <w:spacing w:after="190"/>
        <w:ind w:firstLine="560"/>
        <w:rPr>
          <w:rFonts w:ascii="宋体" w:hAnsi="宋体" w:cs="宋体"/>
          <w:sz w:val="28"/>
          <w:szCs w:val="28"/>
        </w:rPr>
      </w:pPr>
      <w:r>
        <w:rPr>
          <w:rFonts w:hint="eastAsia" w:ascii="宋体" w:hAnsi="宋体" w:cs="宋体"/>
          <w:sz w:val="28"/>
          <w:szCs w:val="28"/>
        </w:rPr>
        <w:t>为跨省市远程异地评审系统提供统一数字证书和电子签章互认服务，统一数字证书和电子签章互认服务可实现省外不同电子认证服务机构数字证书的兼容互认，实现跨区域、跨行业、跨平台的统一身份认证、数据加解密、电子签章验证等，解决专家和供应商重复办理CA的问题，提高市场主体参与政府采购活动的效率，降低交易成本。</w:t>
      </w:r>
    </w:p>
    <w:p w14:paraId="167987CA">
      <w:pPr>
        <w:pStyle w:val="5"/>
        <w:ind w:firstLine="560"/>
        <w:rPr>
          <w:rFonts w:ascii="宋体" w:hAnsi="宋体" w:eastAsia="宋体"/>
          <w:b w:val="0"/>
          <w:bCs/>
          <w:sz w:val="28"/>
          <w:szCs w:val="28"/>
        </w:rPr>
      </w:pPr>
      <w:r>
        <w:rPr>
          <w:rFonts w:hint="eastAsia" w:ascii="宋体" w:hAnsi="宋体" w:eastAsia="宋体"/>
          <w:b w:val="0"/>
          <w:bCs/>
          <w:sz w:val="28"/>
          <w:szCs w:val="28"/>
          <w:lang w:val="en-US" w:eastAsia="zh-CN"/>
        </w:rPr>
        <w:t>3.2</w:t>
      </w:r>
      <w:r>
        <w:rPr>
          <w:rFonts w:hint="eastAsia" w:ascii="宋体" w:hAnsi="宋体" w:eastAsia="宋体"/>
          <w:b w:val="0"/>
          <w:bCs/>
          <w:sz w:val="28"/>
          <w:szCs w:val="28"/>
        </w:rPr>
        <w:t>费用结算接口</w:t>
      </w:r>
    </w:p>
    <w:p w14:paraId="1B68EE71">
      <w:pPr>
        <w:pStyle w:val="6"/>
        <w:spacing w:before="190" w:after="190"/>
        <w:ind w:firstLine="560"/>
        <w:rPr>
          <w:rFonts w:ascii="宋体" w:hAnsi="宋体" w:eastAsia="宋体"/>
          <w:sz w:val="28"/>
          <w:szCs w:val="28"/>
        </w:rPr>
      </w:pPr>
      <w:r>
        <w:rPr>
          <w:rFonts w:hint="eastAsia" w:ascii="宋体" w:hAnsi="宋体" w:eastAsia="宋体"/>
          <w:sz w:val="28"/>
          <w:szCs w:val="28"/>
        </w:rPr>
        <w:t>提供远程异地评审系统费用结算接口服务，主要包括以下费用：</w:t>
      </w:r>
    </w:p>
    <w:p w14:paraId="0CD7EAB6">
      <w:pPr>
        <w:pStyle w:val="6"/>
        <w:numPr>
          <w:ilvl w:val="0"/>
          <w:numId w:val="3"/>
        </w:numPr>
        <w:spacing w:before="190" w:after="190"/>
        <w:ind w:left="0" w:firstLine="425" w:firstLineChars="0"/>
        <w:rPr>
          <w:rFonts w:ascii="宋体" w:hAnsi="宋体" w:eastAsia="宋体"/>
          <w:sz w:val="28"/>
          <w:szCs w:val="28"/>
        </w:rPr>
      </w:pPr>
      <w:r>
        <w:rPr>
          <w:rFonts w:hint="eastAsia" w:ascii="宋体" w:hAnsi="宋体" w:eastAsia="宋体"/>
          <w:sz w:val="28"/>
          <w:szCs w:val="28"/>
        </w:rPr>
        <w:t>场地费用结算接口</w:t>
      </w:r>
    </w:p>
    <w:p w14:paraId="44E4BC10">
      <w:pPr>
        <w:pStyle w:val="6"/>
        <w:spacing w:before="190" w:after="190"/>
        <w:ind w:firstLine="560"/>
        <w:rPr>
          <w:rFonts w:ascii="宋体" w:hAnsi="宋体" w:eastAsia="宋体"/>
          <w:sz w:val="28"/>
          <w:szCs w:val="28"/>
        </w:rPr>
      </w:pPr>
      <w:r>
        <w:rPr>
          <w:rFonts w:hint="eastAsia" w:ascii="宋体" w:hAnsi="宋体" w:eastAsia="宋体"/>
          <w:sz w:val="28"/>
          <w:szCs w:val="28"/>
        </w:rPr>
        <w:t>提供远程异地评审场地费用结算接口，支持生成费用结算信息后通过接口推送相应支付信息。</w:t>
      </w:r>
    </w:p>
    <w:p w14:paraId="20912284">
      <w:pPr>
        <w:pStyle w:val="6"/>
        <w:numPr>
          <w:ilvl w:val="0"/>
          <w:numId w:val="3"/>
        </w:numPr>
        <w:spacing w:before="190" w:after="190"/>
        <w:ind w:left="0" w:firstLine="425" w:firstLineChars="0"/>
        <w:rPr>
          <w:rFonts w:ascii="宋体" w:hAnsi="宋体" w:eastAsia="宋体"/>
          <w:sz w:val="28"/>
          <w:szCs w:val="28"/>
        </w:rPr>
      </w:pPr>
      <w:r>
        <w:rPr>
          <w:rFonts w:hint="eastAsia" w:ascii="宋体" w:hAnsi="宋体" w:eastAsia="宋体"/>
          <w:sz w:val="28"/>
          <w:szCs w:val="28"/>
        </w:rPr>
        <w:t>专家费用结算接口</w:t>
      </w:r>
    </w:p>
    <w:p w14:paraId="360AFFC9">
      <w:pPr>
        <w:pStyle w:val="6"/>
        <w:spacing w:before="190" w:after="190"/>
        <w:ind w:firstLine="560"/>
        <w:rPr>
          <w:rFonts w:ascii="宋体" w:hAnsi="宋体" w:eastAsia="宋体"/>
          <w:sz w:val="28"/>
          <w:szCs w:val="28"/>
        </w:rPr>
      </w:pPr>
      <w:r>
        <w:rPr>
          <w:rFonts w:hint="eastAsia" w:ascii="宋体" w:hAnsi="宋体" w:eastAsia="宋体"/>
          <w:sz w:val="28"/>
          <w:szCs w:val="28"/>
        </w:rPr>
        <w:t>提供远程异地评审系统专家费用结算接口服务，实现跨省专家费用结算系统的无缝对接。</w:t>
      </w:r>
    </w:p>
    <w:p w14:paraId="5E422ECE">
      <w:pPr>
        <w:pStyle w:val="6"/>
        <w:numPr>
          <w:ilvl w:val="0"/>
          <w:numId w:val="3"/>
        </w:numPr>
        <w:spacing w:before="190" w:after="190"/>
        <w:ind w:left="0" w:firstLine="425" w:firstLineChars="0"/>
        <w:rPr>
          <w:rFonts w:ascii="宋体" w:hAnsi="宋体" w:eastAsia="宋体"/>
          <w:sz w:val="28"/>
          <w:szCs w:val="28"/>
        </w:rPr>
      </w:pPr>
      <w:r>
        <w:rPr>
          <w:rFonts w:hint="eastAsia" w:ascii="宋体" w:hAnsi="宋体" w:eastAsia="宋体"/>
          <w:sz w:val="28"/>
          <w:szCs w:val="28"/>
        </w:rPr>
        <w:t>其他费用结算接口</w:t>
      </w:r>
    </w:p>
    <w:p w14:paraId="134F9D38">
      <w:pPr>
        <w:pStyle w:val="6"/>
        <w:spacing w:before="190" w:after="190"/>
        <w:ind w:firstLine="560"/>
        <w:rPr>
          <w:rFonts w:ascii="宋体" w:hAnsi="宋体" w:eastAsia="宋体"/>
          <w:sz w:val="28"/>
          <w:szCs w:val="28"/>
        </w:rPr>
      </w:pPr>
      <w:r>
        <w:rPr>
          <w:rFonts w:hint="eastAsia" w:ascii="宋体" w:hAnsi="宋体" w:eastAsia="宋体"/>
          <w:sz w:val="28"/>
          <w:szCs w:val="28"/>
        </w:rPr>
        <w:t>预留其他费用结算接口，为后续其他费用的结算对接提供基础。</w:t>
      </w:r>
    </w:p>
    <w:p w14:paraId="6087D1B2">
      <w:pPr>
        <w:pStyle w:val="8"/>
        <w:spacing w:after="190"/>
        <w:ind w:firstLine="560"/>
        <w:rPr>
          <w:rFonts w:ascii="宋体" w:hAnsi="宋体"/>
          <w:sz w:val="28"/>
          <w:szCs w:val="28"/>
        </w:rPr>
      </w:pPr>
      <w:r>
        <w:rPr>
          <w:rFonts w:hint="eastAsia" w:ascii="宋体" w:hAnsi="宋体"/>
          <w:sz w:val="28"/>
          <w:szCs w:val="28"/>
        </w:rPr>
        <w:t>运行服务方应对各省不同接口的场地和专家费用结算系统提出接口互通的解决方案、结算接口设计、开发、测试、联调，提供跨省远程异地评审费用结算的接口服务。</w:t>
      </w:r>
    </w:p>
    <w:p w14:paraId="6A616140">
      <w:pPr>
        <w:spacing w:after="190"/>
        <w:ind w:firstLine="560"/>
        <w:rPr>
          <w:rFonts w:ascii="宋体" w:hAnsi="宋体"/>
          <w:sz w:val="28"/>
          <w:szCs w:val="28"/>
        </w:rPr>
      </w:pPr>
      <w:r>
        <w:rPr>
          <w:rFonts w:hint="eastAsia" w:ascii="宋体" w:hAnsi="宋体"/>
          <w:sz w:val="28"/>
          <w:szCs w:val="28"/>
        </w:rPr>
        <w:t>运行服务方应定期对结算接口运行情况巡检，排查接口服务是否存在异常并及时记录、处理和解决，保障对接的顺利进行。</w:t>
      </w:r>
    </w:p>
    <w:p w14:paraId="766B8FF3">
      <w:pPr>
        <w:pStyle w:val="8"/>
        <w:spacing w:after="190"/>
        <w:ind w:firstLine="0" w:firstLineChars="0"/>
        <w:rPr>
          <w:rFonts w:ascii="宋体" w:hAnsi="宋体"/>
          <w:sz w:val="28"/>
          <w:szCs w:val="28"/>
        </w:rPr>
      </w:pPr>
    </w:p>
    <w:p w14:paraId="2EAACCDB">
      <w:pPr>
        <w:pStyle w:val="5"/>
        <w:ind w:firstLine="560"/>
        <w:rPr>
          <w:rFonts w:ascii="宋体" w:hAnsi="宋体" w:eastAsia="宋体"/>
          <w:b w:val="0"/>
          <w:bCs/>
          <w:sz w:val="28"/>
          <w:szCs w:val="28"/>
        </w:rPr>
      </w:pPr>
      <w:r>
        <w:rPr>
          <w:rFonts w:hint="eastAsia" w:ascii="宋体" w:hAnsi="宋体" w:eastAsia="宋体"/>
          <w:b w:val="0"/>
          <w:bCs/>
          <w:sz w:val="28"/>
          <w:szCs w:val="28"/>
          <w:lang w:val="en-US" w:eastAsia="zh-CN"/>
        </w:rPr>
        <w:t>3.3</w:t>
      </w:r>
      <w:r>
        <w:rPr>
          <w:rFonts w:hint="eastAsia" w:ascii="宋体" w:hAnsi="宋体" w:eastAsia="宋体"/>
          <w:b w:val="0"/>
          <w:bCs/>
          <w:sz w:val="28"/>
          <w:szCs w:val="28"/>
        </w:rPr>
        <w:t xml:space="preserve"> 门禁接口服务</w:t>
      </w:r>
    </w:p>
    <w:p w14:paraId="0F6C0269">
      <w:pPr>
        <w:spacing w:after="190"/>
        <w:ind w:firstLine="560"/>
        <w:rPr>
          <w:rFonts w:ascii="宋体" w:hAnsi="宋体"/>
          <w:sz w:val="28"/>
          <w:szCs w:val="28"/>
        </w:rPr>
      </w:pPr>
      <w:r>
        <w:rPr>
          <w:rFonts w:hint="eastAsia" w:ascii="宋体" w:hAnsi="宋体" w:cs="宋体"/>
          <w:sz w:val="28"/>
          <w:szCs w:val="28"/>
        </w:rPr>
        <w:t>为远程异地评审系统建设单位提供门禁接口对接服务，支持对接其已建的、符合对接标准的门禁系统，支持在专家抽取需求完成评审专家抽取工作后，将专家抽取信息加密直接推送到评审场地的门禁系统；专家在进入评审场所与外界切断信息联系前，“围猎者”无法锁定抽取专家与项目的关联关系，保证专家评审不受外界信息干扰。</w:t>
      </w:r>
    </w:p>
    <w:p w14:paraId="3E98F2B8">
      <w:pPr>
        <w:spacing w:after="190"/>
        <w:ind w:firstLine="560"/>
        <w:rPr>
          <w:rFonts w:ascii="宋体" w:hAnsi="宋体" w:cs="宋体"/>
          <w:sz w:val="28"/>
          <w:szCs w:val="28"/>
        </w:rPr>
      </w:pPr>
      <w:r>
        <w:rPr>
          <w:rFonts w:hint="eastAsia" w:ascii="宋体" w:hAnsi="宋体" w:cs="宋体"/>
          <w:sz w:val="28"/>
          <w:szCs w:val="28"/>
        </w:rPr>
        <w:t>门禁系统的对接，实现了从技术上为专家进行独立评审提供了环境，不但有利于专家专业水平的发挥，而且能较大提高评审结果的公平性、公正性。</w:t>
      </w:r>
    </w:p>
    <w:p w14:paraId="1DD358E4">
      <w:pPr>
        <w:spacing w:after="190"/>
        <w:ind w:firstLine="560"/>
        <w:rPr>
          <w:rFonts w:ascii="宋体" w:hAnsi="宋体"/>
          <w:sz w:val="28"/>
          <w:szCs w:val="28"/>
        </w:rPr>
      </w:pPr>
      <w:r>
        <w:rPr>
          <w:rFonts w:hint="eastAsia" w:ascii="宋体" w:hAnsi="宋体" w:cs="宋体"/>
          <w:sz w:val="28"/>
          <w:szCs w:val="28"/>
        </w:rPr>
        <w:t>门禁接口服务具体服务内容如下：</w:t>
      </w:r>
    </w:p>
    <w:p w14:paraId="4300433D">
      <w:pPr>
        <w:numPr>
          <w:ilvl w:val="0"/>
          <w:numId w:val="4"/>
        </w:numPr>
        <w:spacing w:after="190"/>
        <w:ind w:firstLine="560"/>
        <w:rPr>
          <w:rFonts w:ascii="宋体" w:hAnsi="宋体"/>
          <w:sz w:val="28"/>
          <w:szCs w:val="28"/>
        </w:rPr>
      </w:pPr>
      <w:r>
        <w:rPr>
          <w:rFonts w:hint="eastAsia" w:ascii="宋体" w:hAnsi="宋体" w:cs="宋体"/>
          <w:sz w:val="28"/>
          <w:szCs w:val="28"/>
        </w:rPr>
        <w:t>提供统一门禁接口对接方案，对于远程异地评审系统建设单位已建的门禁系统如符合对接标准的，支持其快速接入完成对接。</w:t>
      </w:r>
    </w:p>
    <w:p w14:paraId="6A476940">
      <w:pPr>
        <w:numPr>
          <w:ilvl w:val="0"/>
          <w:numId w:val="4"/>
        </w:numPr>
        <w:spacing w:after="190"/>
        <w:ind w:firstLine="560"/>
        <w:rPr>
          <w:rFonts w:ascii="宋体" w:hAnsi="宋体"/>
          <w:sz w:val="28"/>
          <w:szCs w:val="28"/>
        </w:rPr>
      </w:pPr>
      <w:r>
        <w:rPr>
          <w:rFonts w:hint="eastAsia" w:ascii="宋体" w:hAnsi="宋体" w:cs="宋体"/>
          <w:sz w:val="28"/>
          <w:szCs w:val="28"/>
        </w:rPr>
        <w:t>提供对接联调服务，实施运行人员在对接过程中及时解答和处理门禁系统服务商的疑问和问题，保障对接的顺利进行。</w:t>
      </w:r>
    </w:p>
    <w:p w14:paraId="0ADDEAC2">
      <w:pPr>
        <w:numPr>
          <w:ilvl w:val="0"/>
          <w:numId w:val="4"/>
        </w:numPr>
        <w:spacing w:after="190"/>
        <w:ind w:firstLine="560"/>
        <w:rPr>
          <w:rFonts w:ascii="宋体" w:hAnsi="宋体"/>
          <w:sz w:val="28"/>
          <w:szCs w:val="28"/>
        </w:rPr>
      </w:pPr>
      <w:r>
        <w:rPr>
          <w:rFonts w:hint="eastAsia" w:ascii="宋体" w:hAnsi="宋体" w:cs="宋体"/>
          <w:sz w:val="28"/>
          <w:szCs w:val="28"/>
        </w:rPr>
        <w:t>对接完成后，提供日常巡检服务，定期检查接口服务是否正常运行，如有问题及时解决并通知相关部门。</w:t>
      </w:r>
    </w:p>
    <w:p w14:paraId="3C31B762">
      <w:pPr>
        <w:numPr>
          <w:ilvl w:val="0"/>
          <w:numId w:val="4"/>
        </w:numPr>
        <w:spacing w:after="190"/>
        <w:ind w:firstLine="560"/>
        <w:rPr>
          <w:rFonts w:ascii="宋体" w:hAnsi="宋体"/>
          <w:sz w:val="28"/>
          <w:szCs w:val="28"/>
        </w:rPr>
      </w:pPr>
      <w:r>
        <w:rPr>
          <w:rFonts w:hint="eastAsia" w:ascii="宋体" w:hAnsi="宋体"/>
          <w:sz w:val="28"/>
          <w:szCs w:val="28"/>
        </w:rPr>
        <w:t>对于因</w:t>
      </w:r>
      <w:r>
        <w:rPr>
          <w:rFonts w:hint="eastAsia" w:ascii="宋体" w:hAnsi="宋体" w:cs="宋体"/>
          <w:sz w:val="28"/>
          <w:szCs w:val="28"/>
        </w:rPr>
        <w:t>软硬件升级及其他所有原因引起的接口改造，提供重新设计、开发、联调实施等服务。</w:t>
      </w:r>
    </w:p>
    <w:p w14:paraId="755E440D">
      <w:pPr>
        <w:pStyle w:val="5"/>
        <w:ind w:firstLine="560"/>
        <w:rPr>
          <w:rFonts w:ascii="宋体" w:hAnsi="宋体" w:eastAsia="宋体"/>
          <w:b w:val="0"/>
          <w:bCs/>
          <w:sz w:val="28"/>
          <w:szCs w:val="28"/>
        </w:rPr>
      </w:pPr>
      <w:r>
        <w:rPr>
          <w:rFonts w:hint="eastAsia" w:ascii="宋体" w:hAnsi="宋体" w:eastAsia="宋体"/>
          <w:b w:val="0"/>
          <w:bCs/>
          <w:sz w:val="28"/>
          <w:szCs w:val="28"/>
          <w:lang w:val="en-US" w:eastAsia="zh-CN"/>
        </w:rPr>
        <w:t>3.4</w:t>
      </w:r>
      <w:r>
        <w:rPr>
          <w:rFonts w:hint="eastAsia" w:ascii="宋体" w:hAnsi="宋体" w:eastAsia="宋体"/>
          <w:b w:val="0"/>
          <w:bCs/>
          <w:sz w:val="28"/>
          <w:szCs w:val="28"/>
        </w:rPr>
        <w:t>场地预约接口服务</w:t>
      </w:r>
    </w:p>
    <w:p w14:paraId="0BA2CA87">
      <w:pPr>
        <w:spacing w:after="190"/>
        <w:ind w:firstLine="560"/>
        <w:rPr>
          <w:rFonts w:ascii="宋体" w:hAnsi="宋体" w:cs="宋体"/>
          <w:sz w:val="28"/>
          <w:szCs w:val="28"/>
        </w:rPr>
      </w:pPr>
      <w:r>
        <w:rPr>
          <w:rFonts w:hint="eastAsia" w:ascii="宋体" w:hAnsi="宋体" w:cs="宋体"/>
          <w:sz w:val="28"/>
          <w:szCs w:val="28"/>
        </w:rPr>
        <w:t>支持对接远程异地评审场地预约系统，并进行日常巡检、异常问题处理、因软硬件升级引起的接口改造和联调测试。具体服务内容如下：</w:t>
      </w:r>
    </w:p>
    <w:p w14:paraId="7B79C794">
      <w:pPr>
        <w:numPr>
          <w:ilvl w:val="0"/>
          <w:numId w:val="5"/>
        </w:numPr>
        <w:spacing w:after="190"/>
        <w:ind w:firstLine="560"/>
        <w:rPr>
          <w:rFonts w:ascii="宋体" w:hAnsi="宋体" w:cs="宋体"/>
          <w:sz w:val="28"/>
          <w:szCs w:val="28"/>
        </w:rPr>
      </w:pPr>
      <w:r>
        <w:rPr>
          <w:rFonts w:hint="eastAsia" w:ascii="宋体" w:hAnsi="宋体" w:cs="宋体"/>
          <w:sz w:val="28"/>
          <w:szCs w:val="28"/>
        </w:rPr>
        <w:t>提供统一的场地预约对接接口服务；</w:t>
      </w:r>
    </w:p>
    <w:p w14:paraId="367109F3">
      <w:pPr>
        <w:numPr>
          <w:ilvl w:val="0"/>
          <w:numId w:val="5"/>
        </w:numPr>
        <w:spacing w:after="190"/>
        <w:ind w:firstLine="560"/>
        <w:rPr>
          <w:rFonts w:ascii="宋体" w:hAnsi="宋体" w:cs="宋体"/>
          <w:sz w:val="28"/>
          <w:szCs w:val="28"/>
        </w:rPr>
      </w:pPr>
      <w:r>
        <w:rPr>
          <w:rFonts w:hint="eastAsia" w:ascii="宋体" w:hAnsi="宋体" w:cs="宋体"/>
          <w:sz w:val="28"/>
          <w:szCs w:val="28"/>
        </w:rPr>
        <w:t>因软硬件升级引起的接口改造和联调测试；</w:t>
      </w:r>
    </w:p>
    <w:p w14:paraId="22393C7E">
      <w:pPr>
        <w:numPr>
          <w:ilvl w:val="0"/>
          <w:numId w:val="5"/>
        </w:numPr>
        <w:spacing w:after="190"/>
        <w:ind w:firstLine="560"/>
        <w:rPr>
          <w:rFonts w:ascii="宋体" w:hAnsi="宋体" w:cs="宋体"/>
          <w:sz w:val="28"/>
          <w:szCs w:val="28"/>
        </w:rPr>
      </w:pPr>
      <w:r>
        <w:rPr>
          <w:rFonts w:hint="eastAsia" w:ascii="宋体" w:hAnsi="宋体" w:cs="宋体"/>
          <w:sz w:val="28"/>
          <w:szCs w:val="28"/>
        </w:rPr>
        <w:t>定期进行日常巡检，检查接口服务是否正常运行，如有问题及时解决并通知相关部门。</w:t>
      </w:r>
    </w:p>
    <w:p w14:paraId="1C5A0580">
      <w:pPr>
        <w:pStyle w:val="5"/>
        <w:ind w:firstLine="560"/>
        <w:rPr>
          <w:rFonts w:ascii="宋体" w:hAnsi="宋体" w:eastAsia="宋体"/>
          <w:b w:val="0"/>
          <w:bCs/>
          <w:sz w:val="28"/>
          <w:szCs w:val="28"/>
        </w:rPr>
      </w:pPr>
      <w:r>
        <w:rPr>
          <w:rFonts w:hint="eastAsia" w:ascii="宋体" w:hAnsi="宋体" w:eastAsia="宋体"/>
          <w:b w:val="0"/>
          <w:bCs/>
          <w:sz w:val="28"/>
          <w:szCs w:val="28"/>
          <w:lang w:val="en-US" w:eastAsia="zh-CN"/>
        </w:rPr>
        <w:t>3.5</w:t>
      </w:r>
      <w:r>
        <w:rPr>
          <w:rFonts w:hint="eastAsia" w:ascii="宋体" w:hAnsi="宋体" w:eastAsia="宋体"/>
          <w:b w:val="0"/>
          <w:bCs/>
          <w:sz w:val="28"/>
          <w:szCs w:val="28"/>
        </w:rPr>
        <w:t>场地监控接口服务</w:t>
      </w:r>
    </w:p>
    <w:p w14:paraId="645B7576">
      <w:pPr>
        <w:spacing w:after="190"/>
        <w:ind w:firstLine="560"/>
        <w:rPr>
          <w:rFonts w:ascii="宋体" w:hAnsi="宋体"/>
          <w:sz w:val="28"/>
          <w:szCs w:val="28"/>
        </w:rPr>
      </w:pPr>
      <w:r>
        <w:rPr>
          <w:rFonts w:hint="eastAsia" w:ascii="宋体" w:hAnsi="宋体" w:cs="宋体"/>
          <w:sz w:val="28"/>
          <w:szCs w:val="28"/>
        </w:rPr>
        <w:t>支持与远程异地评审系统建设单位已建场地监控实现接口对接，从而实现按照评审项目的起止时间，获取专家评审场地监控环境音视频，并通过集成拼接，为在线见证监督提供场地监控音视频数据。实现见证监督</w:t>
      </w:r>
      <w:r>
        <w:rPr>
          <w:rFonts w:hint="eastAsia" w:ascii="宋体" w:hAnsi="宋体"/>
          <w:sz w:val="28"/>
          <w:szCs w:val="28"/>
        </w:rPr>
        <w:t>可视化、无死角。</w:t>
      </w:r>
    </w:p>
    <w:p w14:paraId="18F249C9">
      <w:pPr>
        <w:spacing w:after="190"/>
        <w:ind w:firstLine="560"/>
        <w:rPr>
          <w:rFonts w:ascii="宋体" w:hAnsi="宋体"/>
          <w:sz w:val="28"/>
          <w:szCs w:val="28"/>
        </w:rPr>
      </w:pPr>
      <w:r>
        <w:rPr>
          <w:rFonts w:hint="eastAsia" w:ascii="宋体" w:hAnsi="宋体"/>
          <w:sz w:val="28"/>
          <w:szCs w:val="28"/>
        </w:rPr>
        <w:t>提供统一场地监控接口方案和接口规范，可支持符合对接标准的场地监控设备实现快速接入。接入过程中，提供联调测试服务，协助监控系统厂商一起快速完成地监控接工作。</w:t>
      </w:r>
    </w:p>
    <w:p w14:paraId="567812A4">
      <w:pPr>
        <w:spacing w:after="190"/>
        <w:ind w:firstLine="560"/>
        <w:rPr>
          <w:rFonts w:ascii="宋体" w:hAnsi="宋体"/>
          <w:sz w:val="28"/>
          <w:szCs w:val="28"/>
        </w:rPr>
      </w:pPr>
      <w:r>
        <w:rPr>
          <w:rFonts w:hint="eastAsia" w:ascii="宋体" w:hAnsi="宋体"/>
          <w:sz w:val="28"/>
          <w:szCs w:val="28"/>
        </w:rPr>
        <w:t>日常运行过程中，提供定期场地监控接口巡检服务，保障接口服务对接正常，如有问题及时解决并通知相关部门。</w:t>
      </w:r>
    </w:p>
    <w:p w14:paraId="078C2CD3">
      <w:pPr>
        <w:spacing w:after="190"/>
        <w:ind w:firstLine="560"/>
        <w:rPr>
          <w:rFonts w:ascii="宋体" w:hAnsi="宋体"/>
          <w:sz w:val="28"/>
          <w:szCs w:val="28"/>
        </w:rPr>
      </w:pPr>
      <w:r>
        <w:rPr>
          <w:rFonts w:hint="eastAsia" w:ascii="宋体" w:hAnsi="宋体"/>
          <w:sz w:val="28"/>
          <w:szCs w:val="28"/>
        </w:rPr>
        <w:t>如遇场地监控更新或替换、其他软硬件升级等情况导致接口调整的，提供接口方案修订、接口开发、联调、实施等服务，以保证业务的不中断和顺利进行。</w:t>
      </w:r>
    </w:p>
    <w:p w14:paraId="49C1C873">
      <w:pPr>
        <w:pStyle w:val="5"/>
        <w:ind w:firstLine="560"/>
        <w:rPr>
          <w:rFonts w:ascii="宋体" w:hAnsi="宋体" w:eastAsia="宋体"/>
          <w:b w:val="0"/>
          <w:bCs/>
          <w:sz w:val="28"/>
          <w:szCs w:val="28"/>
        </w:rPr>
      </w:pPr>
      <w:r>
        <w:rPr>
          <w:rFonts w:hint="eastAsia" w:ascii="宋体" w:hAnsi="宋体" w:eastAsia="宋体"/>
          <w:b w:val="0"/>
          <w:bCs/>
          <w:sz w:val="28"/>
          <w:szCs w:val="28"/>
          <w:lang w:val="en-US" w:eastAsia="zh-CN"/>
        </w:rPr>
        <w:t>3.6</w:t>
      </w:r>
      <w:r>
        <w:rPr>
          <w:rFonts w:hint="eastAsia" w:ascii="宋体" w:hAnsi="宋体" w:eastAsia="宋体"/>
          <w:b w:val="0"/>
          <w:bCs/>
          <w:sz w:val="28"/>
          <w:szCs w:val="28"/>
        </w:rPr>
        <w:t>见证监督大屏接口服务</w:t>
      </w:r>
    </w:p>
    <w:p w14:paraId="588AAD60">
      <w:pPr>
        <w:spacing w:after="190"/>
        <w:ind w:firstLine="560"/>
        <w:rPr>
          <w:rFonts w:ascii="宋体" w:hAnsi="宋体" w:cs="宋体"/>
          <w:sz w:val="28"/>
          <w:szCs w:val="28"/>
        </w:rPr>
      </w:pPr>
      <w:r>
        <w:rPr>
          <w:rFonts w:hint="eastAsia" w:ascii="宋体" w:hAnsi="宋体" w:cs="宋体"/>
          <w:sz w:val="28"/>
          <w:szCs w:val="28"/>
        </w:rPr>
        <w:t>与远程异地评审系统建设单位已建见证监督大屏实现对接，支持在项目评审时将项目信息、评审室信息推送至见证监督大屏。</w:t>
      </w:r>
    </w:p>
    <w:p w14:paraId="01F2D696">
      <w:pPr>
        <w:spacing w:after="190"/>
        <w:ind w:firstLine="560"/>
        <w:rPr>
          <w:rFonts w:ascii="宋体" w:hAnsi="宋体" w:cs="宋体"/>
          <w:sz w:val="28"/>
          <w:szCs w:val="28"/>
        </w:rPr>
      </w:pPr>
      <w:r>
        <w:rPr>
          <w:rFonts w:hint="eastAsia" w:ascii="宋体" w:hAnsi="宋体" w:cs="宋体"/>
          <w:sz w:val="28"/>
          <w:szCs w:val="28"/>
        </w:rPr>
        <w:t>提供统一对接方案与接口规范，与符合对接标准的见证监督大屏实现对接。</w:t>
      </w:r>
    </w:p>
    <w:p w14:paraId="6695C4DA">
      <w:pPr>
        <w:spacing w:after="190"/>
        <w:ind w:firstLine="560"/>
        <w:rPr>
          <w:rFonts w:ascii="宋体" w:hAnsi="宋体" w:cs="宋体"/>
          <w:sz w:val="28"/>
          <w:szCs w:val="28"/>
        </w:rPr>
      </w:pPr>
      <w:r>
        <w:rPr>
          <w:rFonts w:hint="eastAsia" w:ascii="宋体" w:hAnsi="宋体" w:cs="宋体"/>
          <w:sz w:val="28"/>
          <w:szCs w:val="28"/>
        </w:rPr>
        <w:t>提供接口对接联调服务，对接过程中及时响应和解决相关厂商关于对接的疑问和问题，并完成联调测试。</w:t>
      </w:r>
    </w:p>
    <w:p w14:paraId="19F0E848">
      <w:pPr>
        <w:spacing w:after="190"/>
        <w:ind w:firstLine="560"/>
        <w:rPr>
          <w:rFonts w:ascii="宋体" w:hAnsi="宋体" w:cs="宋体"/>
          <w:sz w:val="28"/>
          <w:szCs w:val="28"/>
        </w:rPr>
      </w:pPr>
      <w:r>
        <w:rPr>
          <w:rFonts w:hint="eastAsia" w:ascii="宋体" w:hAnsi="宋体"/>
          <w:sz w:val="28"/>
          <w:szCs w:val="28"/>
        </w:rPr>
        <w:t>在日常服务过程中进行巡检，排查接口服务是否存在异常并及时记录、处理和解决，同时</w:t>
      </w:r>
      <w:r>
        <w:rPr>
          <w:rFonts w:hint="eastAsia" w:ascii="宋体" w:hAnsi="宋体" w:cs="宋体"/>
          <w:sz w:val="28"/>
          <w:szCs w:val="28"/>
        </w:rPr>
        <w:t>通知相关部门。</w:t>
      </w:r>
    </w:p>
    <w:p w14:paraId="649F640F">
      <w:pPr>
        <w:pStyle w:val="5"/>
        <w:ind w:firstLine="560"/>
        <w:rPr>
          <w:rFonts w:ascii="宋体" w:hAnsi="宋体" w:eastAsia="宋体"/>
          <w:b w:val="0"/>
          <w:bCs/>
          <w:sz w:val="28"/>
          <w:szCs w:val="28"/>
        </w:rPr>
      </w:pPr>
      <w:r>
        <w:rPr>
          <w:rFonts w:hint="eastAsia" w:ascii="宋体" w:hAnsi="宋体" w:eastAsia="宋体"/>
          <w:b w:val="0"/>
          <w:bCs/>
          <w:sz w:val="28"/>
          <w:szCs w:val="28"/>
          <w:lang w:val="en-US" w:eastAsia="zh-CN"/>
        </w:rPr>
        <w:t>3.7</w:t>
      </w:r>
      <w:r>
        <w:rPr>
          <w:rFonts w:hint="eastAsia" w:ascii="宋体" w:hAnsi="宋体" w:eastAsia="宋体"/>
          <w:b w:val="0"/>
          <w:bCs/>
          <w:sz w:val="28"/>
          <w:szCs w:val="28"/>
        </w:rPr>
        <w:t xml:space="preserve"> 接口紧急故障维护服务</w:t>
      </w:r>
    </w:p>
    <w:p w14:paraId="7CD9B0A8">
      <w:pPr>
        <w:spacing w:after="190"/>
        <w:ind w:firstLine="560"/>
        <w:rPr>
          <w:rFonts w:ascii="宋体" w:hAnsi="宋体" w:cs="宋体"/>
          <w:sz w:val="28"/>
          <w:szCs w:val="28"/>
        </w:rPr>
      </w:pPr>
      <w:r>
        <w:rPr>
          <w:rFonts w:hint="eastAsia" w:ascii="宋体" w:hAnsi="宋体" w:cs="宋体"/>
          <w:sz w:val="28"/>
          <w:szCs w:val="28"/>
        </w:rPr>
        <w:t>由于政府采购业务对时效性要求较高，某些接口一旦发生故障，将会对招投标等业务产生重大影响，需要启动紧急故障维护。对业务影响重大，接口一旦发生故障，必须在第一时间启动应急处置预案，以分钟为单位，调集技术专家排除故障。</w:t>
      </w:r>
    </w:p>
    <w:p w14:paraId="7A14BCA9">
      <w:pPr>
        <w:spacing w:after="190"/>
        <w:ind w:firstLine="560"/>
        <w:rPr>
          <w:rFonts w:ascii="宋体" w:hAnsi="宋体" w:cs="宋体"/>
          <w:sz w:val="28"/>
          <w:szCs w:val="28"/>
        </w:rPr>
      </w:pPr>
      <w:r>
        <w:rPr>
          <w:rFonts w:hint="eastAsia" w:ascii="宋体" w:hAnsi="宋体" w:cs="宋体"/>
          <w:sz w:val="28"/>
          <w:szCs w:val="28"/>
        </w:rPr>
        <w:t>紧急故障技术维护流程为：</w:t>
      </w:r>
    </w:p>
    <w:p w14:paraId="291ACB6A">
      <w:pPr>
        <w:spacing w:after="190"/>
        <w:ind w:firstLine="0" w:firstLineChars="0"/>
        <w:rPr>
          <w:rFonts w:ascii="宋体" w:hAnsi="宋体" w:cs="宋体"/>
        </w:rPr>
      </w:pPr>
      <w:r>
        <w:rPr>
          <w:rFonts w:ascii="宋体" w:hAnsi="宋体" w:cs="宋体"/>
        </w:rPr>
        <w:drawing>
          <wp:inline distT="0" distB="0" distL="114300" distR="114300">
            <wp:extent cx="5612130" cy="3023235"/>
            <wp:effectExtent l="0" t="0" r="7620" b="5715"/>
            <wp:docPr id="38" name="图片 38" descr="ca4cc3d06119a93b46a587f0ac990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a4cc3d06119a93b46a587f0ac9908f"/>
                    <pic:cNvPicPr>
                      <a:picLocks noChangeAspect="1"/>
                    </pic:cNvPicPr>
                  </pic:nvPicPr>
                  <pic:blipFill>
                    <a:blip r:embed="rId5"/>
                    <a:stretch>
                      <a:fillRect/>
                    </a:stretch>
                  </pic:blipFill>
                  <pic:spPr>
                    <a:xfrm>
                      <a:off x="0" y="0"/>
                      <a:ext cx="5612130" cy="3023235"/>
                    </a:xfrm>
                    <a:prstGeom prst="rect">
                      <a:avLst/>
                    </a:prstGeom>
                  </pic:spPr>
                </pic:pic>
              </a:graphicData>
            </a:graphic>
          </wp:inline>
        </w:drawing>
      </w:r>
    </w:p>
    <w:p w14:paraId="36FDCF32">
      <w:pPr>
        <w:spacing w:after="190"/>
        <w:ind w:firstLine="440"/>
        <w:jc w:val="center"/>
        <w:rPr>
          <w:rFonts w:ascii="宋体" w:hAnsi="宋体" w:cs="宋体"/>
          <w:sz w:val="28"/>
          <w:szCs w:val="28"/>
        </w:rPr>
      </w:pPr>
      <w:r>
        <w:rPr>
          <w:rFonts w:hint="eastAsia" w:ascii="宋体" w:hAnsi="宋体" w:cs="宋体"/>
          <w:sz w:val="28"/>
          <w:szCs w:val="28"/>
        </w:rPr>
        <w:t>紧急故障技术服务流程图</w:t>
      </w:r>
    </w:p>
    <w:p w14:paraId="3CB73743">
      <w:pPr>
        <w:numPr>
          <w:ilvl w:val="0"/>
          <w:numId w:val="6"/>
        </w:numPr>
        <w:spacing w:after="190"/>
        <w:ind w:firstLine="560"/>
        <w:rPr>
          <w:rFonts w:ascii="宋体" w:hAnsi="宋体" w:cs="宋体"/>
          <w:sz w:val="28"/>
          <w:szCs w:val="28"/>
        </w:rPr>
      </w:pPr>
      <w:r>
        <w:rPr>
          <w:rFonts w:hint="eastAsia" w:ascii="宋体" w:hAnsi="宋体" w:cs="宋体"/>
          <w:sz w:val="28"/>
          <w:szCs w:val="28"/>
        </w:rPr>
        <w:t>各客服渠道收到故障报告或巡检发现故障后，及时汇报给接口服务小组团队和业务部门；</w:t>
      </w:r>
    </w:p>
    <w:p w14:paraId="77B6D143">
      <w:pPr>
        <w:numPr>
          <w:ilvl w:val="0"/>
          <w:numId w:val="6"/>
        </w:numPr>
        <w:spacing w:after="190"/>
        <w:ind w:firstLine="560"/>
        <w:rPr>
          <w:rFonts w:ascii="宋体" w:hAnsi="宋体" w:cs="宋体"/>
          <w:sz w:val="28"/>
          <w:szCs w:val="28"/>
        </w:rPr>
      </w:pPr>
      <w:r>
        <w:rPr>
          <w:rFonts w:hint="eastAsia" w:ascii="宋体" w:hAnsi="宋体" w:cs="宋体"/>
          <w:sz w:val="28"/>
          <w:szCs w:val="28"/>
        </w:rPr>
        <w:t>接口服务小组团队立即跟踪事态发展变化，对事态严重性、风险性和可控性做出初步分析判断，提出初步应急处理工作措施；</w:t>
      </w:r>
    </w:p>
    <w:p w14:paraId="00FDE665">
      <w:pPr>
        <w:numPr>
          <w:ilvl w:val="0"/>
          <w:numId w:val="6"/>
        </w:numPr>
        <w:spacing w:after="190"/>
        <w:ind w:firstLine="560"/>
        <w:rPr>
          <w:rFonts w:ascii="宋体" w:hAnsi="宋体" w:cs="宋体"/>
          <w:sz w:val="28"/>
          <w:szCs w:val="28"/>
        </w:rPr>
      </w:pPr>
      <w:r>
        <w:rPr>
          <w:rFonts w:hint="eastAsia" w:ascii="宋体" w:hAnsi="宋体" w:cs="宋体"/>
          <w:sz w:val="28"/>
          <w:szCs w:val="28"/>
        </w:rPr>
        <w:t>客服团队根据接口服务小组团队的判断和业务部门的要求，形成统一答复口径，分发给所有服务渠道，统一对紧急故障问题的答复口径，并安抚客户；</w:t>
      </w:r>
    </w:p>
    <w:p w14:paraId="634BDEA7">
      <w:pPr>
        <w:numPr>
          <w:ilvl w:val="0"/>
          <w:numId w:val="6"/>
        </w:numPr>
        <w:spacing w:after="190"/>
        <w:ind w:firstLine="560"/>
        <w:rPr>
          <w:rFonts w:ascii="宋体" w:hAnsi="宋体" w:cs="宋体"/>
          <w:sz w:val="28"/>
          <w:szCs w:val="28"/>
        </w:rPr>
      </w:pPr>
      <w:r>
        <w:rPr>
          <w:rFonts w:hint="eastAsia" w:ascii="宋体" w:hAnsi="宋体" w:cs="宋体"/>
          <w:sz w:val="28"/>
          <w:szCs w:val="28"/>
        </w:rPr>
        <w:t>运行服务团队及时解决问题，或请求专家支援，解决问题；</w:t>
      </w:r>
    </w:p>
    <w:p w14:paraId="57C1283D">
      <w:pPr>
        <w:numPr>
          <w:ilvl w:val="0"/>
          <w:numId w:val="6"/>
        </w:numPr>
        <w:spacing w:after="190"/>
        <w:ind w:firstLine="560"/>
        <w:rPr>
          <w:rFonts w:ascii="宋体" w:hAnsi="宋体" w:cs="宋体"/>
          <w:sz w:val="28"/>
          <w:szCs w:val="28"/>
        </w:rPr>
      </w:pPr>
      <w:r>
        <w:rPr>
          <w:rFonts w:hint="eastAsia" w:ascii="宋体" w:hAnsi="宋体" w:cs="宋体"/>
          <w:sz w:val="28"/>
          <w:szCs w:val="28"/>
        </w:rPr>
        <w:t>若问题无法在规定时间内解决，向监管部门汇报，采购项目延期、封标等处置方案；</w:t>
      </w:r>
    </w:p>
    <w:p w14:paraId="1DF4F02D">
      <w:pPr>
        <w:numPr>
          <w:ilvl w:val="0"/>
          <w:numId w:val="6"/>
        </w:numPr>
        <w:spacing w:after="190"/>
        <w:ind w:firstLine="560"/>
        <w:rPr>
          <w:rFonts w:ascii="宋体" w:hAnsi="宋体" w:cs="宋体"/>
          <w:sz w:val="28"/>
          <w:szCs w:val="28"/>
        </w:rPr>
      </w:pPr>
      <w:r>
        <w:rPr>
          <w:rFonts w:hint="eastAsia" w:ascii="宋体" w:hAnsi="宋体" w:cs="宋体"/>
          <w:sz w:val="28"/>
          <w:szCs w:val="28"/>
        </w:rPr>
        <w:t>问题解决后，通知用户，并编写事故分析报告。</w:t>
      </w:r>
    </w:p>
    <w:p w14:paraId="2336C7FB">
      <w:pPr>
        <w:pStyle w:val="5"/>
        <w:ind w:firstLine="560"/>
        <w:rPr>
          <w:rFonts w:asciiTheme="minorEastAsia" w:hAnsiTheme="minorEastAsia" w:eastAsiaTheme="minorEastAsia"/>
          <w:b w:val="0"/>
          <w:bCs/>
          <w:sz w:val="28"/>
          <w:szCs w:val="28"/>
        </w:rPr>
      </w:pPr>
      <w:r>
        <w:rPr>
          <w:rFonts w:hint="eastAsia" w:asciiTheme="minorEastAsia" w:hAnsiTheme="minorEastAsia" w:eastAsiaTheme="minorEastAsia"/>
          <w:b w:val="0"/>
          <w:bCs/>
          <w:sz w:val="28"/>
          <w:szCs w:val="28"/>
          <w:lang w:val="en-US" w:eastAsia="zh-CN"/>
        </w:rPr>
        <w:t>4.</w:t>
      </w:r>
      <w:r>
        <w:rPr>
          <w:rFonts w:hint="eastAsia" w:asciiTheme="minorEastAsia" w:hAnsiTheme="minorEastAsia" w:eastAsiaTheme="minorEastAsia"/>
          <w:b w:val="0"/>
          <w:bCs/>
          <w:sz w:val="28"/>
          <w:szCs w:val="28"/>
        </w:rPr>
        <w:t>远程异地专家管理服务</w:t>
      </w:r>
    </w:p>
    <w:p w14:paraId="7DE3DB4B">
      <w:pPr>
        <w:spacing w:after="19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项目运行服务方应配合远程异地评审系统建设单位对远程异地评审专家进行管理，提供远程异地专家管理服务，服务内容主要包括：</w:t>
      </w:r>
    </w:p>
    <w:p w14:paraId="3FDA14BA">
      <w:pPr>
        <w:numPr>
          <w:ilvl w:val="0"/>
          <w:numId w:val="7"/>
        </w:numPr>
        <w:spacing w:after="19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协助主会场及各分会场专家抽取规则设置</w:t>
      </w:r>
    </w:p>
    <w:p w14:paraId="2A7CD00C">
      <w:pPr>
        <w:spacing w:after="19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项目运行服务方协助远程异地评审系统建设单位根据不同地区政策法规及项目规则，设置不同的专家抽取规则。</w:t>
      </w:r>
    </w:p>
    <w:p w14:paraId="3B83BF0C">
      <w:pPr>
        <w:numPr>
          <w:ilvl w:val="0"/>
          <w:numId w:val="7"/>
        </w:numPr>
        <w:spacing w:after="19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主会场及各分会场专家抽取技术支持</w:t>
      </w:r>
    </w:p>
    <w:p w14:paraId="37EAF87B">
      <w:pPr>
        <w:spacing w:after="19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远程异地评审专家抽取分为本地专家抽取和异地专家抽取，支持采购人根据已设置的专家抽取规则，分别进行本地专家抽取以及异地专家抽取。</w:t>
      </w:r>
    </w:p>
    <w:p w14:paraId="0EBE3CE2">
      <w:pPr>
        <w:numPr>
          <w:ilvl w:val="0"/>
          <w:numId w:val="7"/>
        </w:numPr>
        <w:spacing w:after="19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主会场及各分会场专家通知渠道支持</w:t>
      </w:r>
    </w:p>
    <w:p w14:paraId="30AE6159">
      <w:pPr>
        <w:spacing w:after="19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对于被抽取到的专家，分别通知其到对应的评审场地参与评审。</w:t>
      </w:r>
    </w:p>
    <w:p w14:paraId="00CAA9FD">
      <w:pPr>
        <w:numPr>
          <w:ilvl w:val="0"/>
          <w:numId w:val="7"/>
        </w:numPr>
        <w:spacing w:after="19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协助专家异地登陆校验技术支持</w:t>
      </w:r>
    </w:p>
    <w:p w14:paraId="12FB2D77">
      <w:pPr>
        <w:pStyle w:val="8"/>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异地专家登录异地评审系统后，对其当前使用的设备进行校验，包括麦克风、耳机、场地监控、专家个人行为监控等设备是否正常运行。当设备出现异常情况时，协助进行设备检查及调整。</w:t>
      </w:r>
    </w:p>
    <w:p w14:paraId="75A233F1">
      <w:pPr>
        <w:pStyle w:val="3"/>
        <w:ind w:left="420" w:leftChars="200" w:firstLine="0" w:firstLineChars="0"/>
        <w:rPr>
          <w:rFonts w:cs="宋体" w:asciiTheme="minorEastAsia" w:hAnsiTheme="minorEastAsia"/>
        </w:rPr>
      </w:pPr>
      <w:bookmarkStart w:id="9" w:name="_Toc24127"/>
      <w:bookmarkStart w:id="10" w:name="_Toc30434"/>
      <w:bookmarkStart w:id="11" w:name="_Toc118383884"/>
      <w:bookmarkStart w:id="12" w:name="_Toc121239947"/>
      <w:bookmarkStart w:id="13" w:name="_Toc19420"/>
      <w:r>
        <w:rPr>
          <w:rFonts w:hint="eastAsia" w:cs="宋体" w:asciiTheme="minorEastAsia" w:hAnsiTheme="minorEastAsia"/>
          <w:lang w:val="en-US" w:eastAsia="zh-CN"/>
        </w:rPr>
        <w:t>4.</w:t>
      </w:r>
      <w:r>
        <w:rPr>
          <w:rFonts w:hint="eastAsia" w:cs="宋体" w:asciiTheme="minorEastAsia" w:hAnsiTheme="minorEastAsia"/>
        </w:rPr>
        <w:t>系统运行保障服务</w:t>
      </w:r>
      <w:bookmarkEnd w:id="9"/>
      <w:bookmarkEnd w:id="10"/>
      <w:bookmarkEnd w:id="11"/>
      <w:bookmarkEnd w:id="12"/>
      <w:bookmarkEnd w:id="13"/>
    </w:p>
    <w:p w14:paraId="5583984B">
      <w:pPr>
        <w:pStyle w:val="5"/>
        <w:ind w:left="420" w:leftChars="200" w:firstLine="0" w:firstLineChars="0"/>
        <w:rPr>
          <w:rFonts w:asciiTheme="minorEastAsia" w:hAnsiTheme="minorEastAsia" w:eastAsiaTheme="minorEastAsia"/>
          <w:b w:val="0"/>
          <w:bCs/>
          <w:sz w:val="28"/>
          <w:szCs w:val="28"/>
        </w:rPr>
      </w:pPr>
      <w:r>
        <w:rPr>
          <w:rFonts w:hint="eastAsia" w:asciiTheme="minorEastAsia" w:hAnsiTheme="minorEastAsia" w:eastAsiaTheme="minorEastAsia"/>
          <w:b w:val="0"/>
          <w:bCs/>
          <w:sz w:val="28"/>
          <w:szCs w:val="28"/>
          <w:lang w:val="en-US" w:eastAsia="zh-CN"/>
        </w:rPr>
        <w:t>4.1</w:t>
      </w:r>
      <w:r>
        <w:rPr>
          <w:rFonts w:hint="eastAsia" w:asciiTheme="minorEastAsia" w:hAnsiTheme="minorEastAsia" w:eastAsiaTheme="minorEastAsia"/>
          <w:b w:val="0"/>
          <w:bCs/>
          <w:sz w:val="28"/>
          <w:szCs w:val="28"/>
        </w:rPr>
        <w:t xml:space="preserve"> 评审场地管理服务</w:t>
      </w:r>
    </w:p>
    <w:p w14:paraId="55552239">
      <w:pPr>
        <w:spacing w:after="19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项目</w:t>
      </w:r>
      <w:r>
        <w:rPr>
          <w:rFonts w:hint="eastAsia" w:asciiTheme="minorEastAsia" w:hAnsiTheme="minorEastAsia" w:eastAsiaTheme="minorEastAsia"/>
          <w:sz w:val="28"/>
          <w:szCs w:val="28"/>
        </w:rPr>
        <w:t>运行服务方</w:t>
      </w:r>
      <w:r>
        <w:rPr>
          <w:rFonts w:hint="eastAsia" w:cs="宋体" w:asciiTheme="minorEastAsia" w:hAnsiTheme="minorEastAsia" w:eastAsiaTheme="minorEastAsia"/>
          <w:sz w:val="28"/>
          <w:szCs w:val="28"/>
        </w:rPr>
        <w:t>配合远程异地评审系统建设单位对评审场地进行管理，提供评审场地管理服务，服务内容主要包括：</w:t>
      </w:r>
    </w:p>
    <w:p w14:paraId="5CD4E989">
      <w:pPr>
        <w:numPr>
          <w:ilvl w:val="0"/>
          <w:numId w:val="8"/>
        </w:numPr>
        <w:spacing w:after="19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评审场地共享维护服务</w:t>
      </w:r>
    </w:p>
    <w:p w14:paraId="681A1D0D">
      <w:pPr>
        <w:spacing w:after="19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协助评审场地共享维护管理，支持对远程异地评审场地基础信息进行维护，通过建设远程评审场地共享平台，维护共享场地基础信息。维护共享远程异地评审场地基础信息，促进各评审点共享场地机位，实现场地资源统一调度，为远程异地评审项目提供各评审会场的场地预约管理。</w:t>
      </w:r>
    </w:p>
    <w:p w14:paraId="4717BE72">
      <w:pPr>
        <w:numPr>
          <w:ilvl w:val="0"/>
          <w:numId w:val="8"/>
        </w:numPr>
        <w:spacing w:after="19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评审场地预约服务</w:t>
      </w:r>
    </w:p>
    <w:p w14:paraId="6A0EB5C8">
      <w:pPr>
        <w:spacing w:after="19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协助评审场地预约管理，在异地评审专家抽取完成后，平台根据异地评审专家所在城市，预约分会场评审场地，系统只将预约时间段以及评审机位数量等基础信息发送分会场（不包含主会场以及评审项目等关键信息），分会场确认后，将分会场地址及联系方式发送至异地评审专家，评审专家确认后，即可在制定时间前往分会场进行评审。</w:t>
      </w:r>
    </w:p>
    <w:p w14:paraId="6D099C98">
      <w:pPr>
        <w:numPr>
          <w:ilvl w:val="0"/>
          <w:numId w:val="8"/>
        </w:numPr>
        <w:spacing w:after="19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协助场地抽取规则设置</w:t>
      </w:r>
    </w:p>
    <w:p w14:paraId="01452B46">
      <w:pPr>
        <w:spacing w:after="190"/>
        <w:ind w:firstLine="560"/>
        <w:rPr>
          <w:rFonts w:cs="宋体" w:asciiTheme="minorEastAsia" w:hAnsiTheme="minorEastAsia" w:eastAsiaTheme="minorEastAsia"/>
          <w:b/>
          <w:bCs/>
          <w:sz w:val="28"/>
          <w:szCs w:val="28"/>
        </w:rPr>
      </w:pPr>
      <w:r>
        <w:rPr>
          <w:rFonts w:hint="eastAsia" w:cs="宋体" w:asciiTheme="minorEastAsia" w:hAnsiTheme="minorEastAsia" w:eastAsiaTheme="minorEastAsia"/>
          <w:sz w:val="28"/>
          <w:szCs w:val="28"/>
        </w:rPr>
        <w:t>协助主管单位设置场地抽取规则。项目</w:t>
      </w:r>
      <w:r>
        <w:rPr>
          <w:rFonts w:hint="eastAsia" w:asciiTheme="minorEastAsia" w:hAnsiTheme="minorEastAsia" w:eastAsiaTheme="minorEastAsia"/>
          <w:sz w:val="28"/>
          <w:szCs w:val="28"/>
        </w:rPr>
        <w:t>运行服务方</w:t>
      </w:r>
      <w:r>
        <w:rPr>
          <w:rFonts w:hint="eastAsia" w:cs="宋体" w:asciiTheme="minorEastAsia" w:hAnsiTheme="minorEastAsia" w:eastAsiaTheme="minorEastAsia"/>
          <w:sz w:val="28"/>
          <w:szCs w:val="28"/>
        </w:rPr>
        <w:t>学习和理解不同地区政策法规，同时协助主管单位根据市场调查情况，对场地抽取规则提出参考意见。</w:t>
      </w:r>
    </w:p>
    <w:p w14:paraId="50FC53C2">
      <w:pPr>
        <w:spacing w:after="19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目前可支持的场地抽取规则包括指定场地、随机抽取和盲抽三种类型，主管单位可根据已制定的场地抽取规则，根据地区、品目等因素设置所需场地抽取规则。</w:t>
      </w:r>
    </w:p>
    <w:p w14:paraId="65C3CDA3">
      <w:pPr>
        <w:pStyle w:val="5"/>
        <w:ind w:left="420" w:leftChars="200" w:firstLine="0" w:firstLineChars="0"/>
        <w:rPr>
          <w:rFonts w:asciiTheme="minorEastAsia" w:hAnsiTheme="minorEastAsia" w:eastAsiaTheme="minorEastAsia"/>
          <w:b w:val="0"/>
          <w:bCs/>
          <w:sz w:val="28"/>
          <w:szCs w:val="28"/>
        </w:rPr>
      </w:pPr>
      <w:r>
        <w:rPr>
          <w:rFonts w:hint="eastAsia" w:asciiTheme="minorEastAsia" w:hAnsiTheme="minorEastAsia" w:eastAsiaTheme="minorEastAsia"/>
          <w:b w:val="0"/>
          <w:bCs/>
          <w:sz w:val="28"/>
          <w:szCs w:val="28"/>
          <w:lang w:val="en-US" w:eastAsia="zh-CN"/>
        </w:rPr>
        <w:t>4.2</w:t>
      </w:r>
      <w:r>
        <w:rPr>
          <w:rFonts w:hint="eastAsia" w:asciiTheme="minorEastAsia" w:hAnsiTheme="minorEastAsia" w:eastAsiaTheme="minorEastAsia"/>
          <w:b w:val="0"/>
          <w:bCs/>
          <w:sz w:val="28"/>
          <w:szCs w:val="28"/>
        </w:rPr>
        <w:t>远程异地评审交易管理服务</w:t>
      </w:r>
    </w:p>
    <w:p w14:paraId="23CD2DED">
      <w:pPr>
        <w:spacing w:after="19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项目运行服务方应配合远程异地评审系统建设单位处理远程异地评审过程中的技术支持，主要包括以下内容：</w:t>
      </w:r>
    </w:p>
    <w:p w14:paraId="6ECE0886">
      <w:pPr>
        <w:numPr>
          <w:ilvl w:val="0"/>
          <w:numId w:val="9"/>
        </w:numPr>
        <w:spacing w:after="19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主会场沟通渠道支持，协助分会场通过远程异地评审工作台接收主会场项目负责人的消息，即当异地评审过程中出现异常情况时，实时通过工作台与主会场项目负责人沟通。</w:t>
      </w:r>
    </w:p>
    <w:p w14:paraId="37DC1494">
      <w:pPr>
        <w:numPr>
          <w:ilvl w:val="0"/>
          <w:numId w:val="9"/>
        </w:numPr>
        <w:spacing w:after="19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分会场查询技术支持，向分会场提供异地评审项目信息的获取功能，支持分会场根据专家需求通过纸质形式将采购文件等项目信息提供给专家用以辅助评审。</w:t>
      </w:r>
    </w:p>
    <w:p w14:paraId="0494977B">
      <w:pPr>
        <w:numPr>
          <w:ilvl w:val="0"/>
          <w:numId w:val="9"/>
        </w:numPr>
        <w:spacing w:after="19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评审专家技术及业务支持，协助分会场为异地评审专家提供技术指导服务。当异地评审专家在评审过程中出现技术性问题，通过工作台向其提供技术指导。</w:t>
      </w:r>
    </w:p>
    <w:p w14:paraId="54E414F5">
      <w:pPr>
        <w:pStyle w:val="9"/>
        <w:rPr>
          <w:sz w:val="28"/>
          <w:szCs w:val="28"/>
        </w:rPr>
      </w:pPr>
      <w:r>
        <w:rPr>
          <w:rFonts w:hint="eastAsia" w:cs="宋体" w:asciiTheme="minorEastAsia" w:hAnsiTheme="minorEastAsia" w:eastAsiaTheme="minorEastAsia"/>
          <w:sz w:val="28"/>
          <w:szCs w:val="28"/>
        </w:rPr>
        <w:t>评审过程技术及业务支持，协助主会场与分会场工作人员解决评审过程中出现的技术及业务问题、协助解答业务相关问题</w:t>
      </w:r>
    </w:p>
    <w:p w14:paraId="1ECACF4A">
      <w:pPr>
        <w:numPr>
          <w:ilvl w:val="0"/>
          <w:numId w:val="10"/>
        </w:numPr>
        <w:spacing w:after="190"/>
        <w:ind w:firstLine="560"/>
        <w:rPr>
          <w:rFonts w:ascii="宋体" w:hAnsi="宋体" w:cs="宋体"/>
          <w:sz w:val="28"/>
          <w:szCs w:val="28"/>
        </w:rPr>
      </w:pPr>
      <w:r>
        <w:rPr>
          <w:rFonts w:hint="eastAsia" w:ascii="宋体" w:hAnsi="宋体" w:cs="宋体"/>
          <w:sz w:val="28"/>
          <w:szCs w:val="28"/>
        </w:rPr>
        <w:t>用户</w:t>
      </w:r>
      <w:r>
        <w:rPr>
          <w:rFonts w:hint="eastAsia" w:ascii="宋体" w:hAnsi="宋体" w:cs="宋体"/>
          <w:sz w:val="28"/>
          <w:szCs w:val="28"/>
          <w:lang w:val="en-US" w:eastAsia="zh-CN"/>
        </w:rPr>
        <w:t>保障</w:t>
      </w:r>
      <w:r>
        <w:rPr>
          <w:rFonts w:hint="eastAsia" w:ascii="宋体" w:hAnsi="宋体" w:cs="宋体"/>
          <w:sz w:val="28"/>
          <w:szCs w:val="28"/>
        </w:rPr>
        <w:t>服务</w:t>
      </w:r>
    </w:p>
    <w:p w14:paraId="2A5C14F2">
      <w:pPr>
        <w:spacing w:after="190"/>
        <w:ind w:firstLine="560" w:firstLineChars="0"/>
        <w:rPr>
          <w:rFonts w:ascii="宋体" w:hAnsi="宋体" w:cs="宋体"/>
          <w:sz w:val="28"/>
          <w:szCs w:val="28"/>
        </w:rPr>
      </w:pPr>
      <w:r>
        <w:rPr>
          <w:rFonts w:hint="eastAsia" w:ascii="宋体" w:hAnsi="宋体" w:cs="宋体"/>
          <w:sz w:val="28"/>
          <w:szCs w:val="28"/>
        </w:rPr>
        <w:t>面向采购人、建设单位、评审专家、代理机构等远程异地评审相关主体提供</w:t>
      </w:r>
      <w:r>
        <w:rPr>
          <w:rFonts w:hint="eastAsia" w:ascii="宋体" w:hAnsi="宋体" w:cs="宋体"/>
          <w:sz w:val="28"/>
          <w:szCs w:val="28"/>
          <w:lang w:val="en-US" w:eastAsia="zh-CN"/>
        </w:rPr>
        <w:t>保障</w:t>
      </w:r>
      <w:r>
        <w:rPr>
          <w:rFonts w:hint="eastAsia" w:ascii="宋体" w:hAnsi="宋体" w:cs="宋体"/>
          <w:sz w:val="28"/>
          <w:szCs w:val="28"/>
        </w:rPr>
        <w:t>服务，通过集中现场</w:t>
      </w:r>
      <w:r>
        <w:rPr>
          <w:rFonts w:hint="eastAsia" w:ascii="宋体" w:hAnsi="宋体" w:cs="宋体"/>
          <w:sz w:val="28"/>
          <w:szCs w:val="28"/>
          <w:lang w:val="en-US" w:eastAsia="zh-CN"/>
        </w:rPr>
        <w:t>指导</w:t>
      </w:r>
      <w:r>
        <w:rPr>
          <w:rFonts w:hint="eastAsia" w:ascii="宋体" w:hAnsi="宋体" w:cs="宋体"/>
          <w:sz w:val="28"/>
          <w:szCs w:val="28"/>
        </w:rPr>
        <w:t>、上机操作、互动交流、远程网络培训等多种方式为用户进行相关业务和流程讲解，以保障各业务主体可迅速熟悉业务和操作相关知识，独立完成远程异地评审相关工作。</w:t>
      </w:r>
    </w:p>
    <w:p w14:paraId="79742AE2">
      <w:pPr>
        <w:numPr>
          <w:ilvl w:val="0"/>
          <w:numId w:val="10"/>
        </w:numPr>
        <w:spacing w:after="190"/>
        <w:ind w:firstLine="560"/>
        <w:rPr>
          <w:rFonts w:ascii="宋体" w:hAnsi="宋体" w:cs="宋体"/>
          <w:sz w:val="28"/>
          <w:szCs w:val="28"/>
        </w:rPr>
      </w:pPr>
      <w:r>
        <w:rPr>
          <w:rFonts w:hint="eastAsia" w:ascii="宋体" w:hAnsi="宋体" w:cs="宋体"/>
          <w:sz w:val="28"/>
          <w:szCs w:val="28"/>
        </w:rPr>
        <w:t>迭代升级服务</w:t>
      </w:r>
    </w:p>
    <w:p w14:paraId="58C4C0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sz w:val="28"/>
          <w:szCs w:val="28"/>
        </w:rPr>
      </w:pPr>
      <w:r>
        <w:rPr>
          <w:rFonts w:hint="eastAsia" w:ascii="宋体" w:hAnsi="宋体"/>
          <w:sz w:val="28"/>
          <w:szCs w:val="28"/>
        </w:rPr>
        <w:t>为保障远程异地评审业务的持续稳定运行，运行服务方将为远程异地评审系统相关硬件设备、软件、接口等提供迭代升级服务，包括相关设备的升级更新、远程异地评审系统相关应用软件的改造升级以及接口对接的优化升级等。同时定期对运行服务的质量和用户反馈进行归纳总结，规范服务过程，提高服务人员的业务和技术水平，从而逐步优化整体运行服务质量。</w:t>
      </w:r>
      <w:bookmarkEnd w:id="4"/>
    </w:p>
    <w:p w14:paraId="1A653F0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rPr>
      </w:pPr>
    </w:p>
    <w:p w14:paraId="00A7DC2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三、验收考评</w:t>
      </w:r>
    </w:p>
    <w:p w14:paraId="7ED6697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del w:id="58" w:author="user" w:date="2025-08-05T16:39:19Z"/>
          <w:rFonts w:hint="eastAsia" w:ascii="宋体" w:hAnsi="宋体"/>
          <w:bCs/>
          <w:color w:val="000000"/>
          <w:sz w:val="28"/>
          <w:szCs w:val="28"/>
          <w:highlight w:val="none"/>
          <w:lang w:val="en-US" w:eastAsia="zh-CN"/>
        </w:rPr>
      </w:pPr>
      <w:del w:id="59" w:author="user" w:date="2025-08-05T16:39:19Z">
        <w:r>
          <w:rPr>
            <w:rFonts w:hint="eastAsia" w:ascii="宋体" w:hAnsi="宋体"/>
            <w:bCs/>
            <w:color w:val="000000"/>
            <w:sz w:val="28"/>
            <w:szCs w:val="28"/>
            <w:highlight w:val="none"/>
            <w:lang w:val="en-US" w:eastAsia="zh-CN"/>
          </w:rPr>
          <w:delText>1.网站运行和维护（20分）。提升IPV6三级链接，支持度评分不得低于90分。保障采购网正常运行，配合三级等保安全运维公司网站维护工作。</w:delText>
        </w:r>
      </w:del>
    </w:p>
    <w:p w14:paraId="167BAB6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del w:id="60" w:author="user" w:date="2025-08-05T16:39:19Z"/>
          <w:rFonts w:hint="eastAsia" w:ascii="宋体" w:hAnsi="宋体"/>
          <w:bCs/>
          <w:color w:val="000000"/>
          <w:sz w:val="28"/>
          <w:szCs w:val="28"/>
          <w:highlight w:val="none"/>
          <w:lang w:val="en-US" w:eastAsia="zh-CN"/>
        </w:rPr>
      </w:pPr>
      <w:del w:id="61" w:author="user" w:date="2025-08-05T16:39:19Z">
        <w:r>
          <w:rPr>
            <w:rFonts w:hint="eastAsia" w:ascii="宋体" w:hAnsi="宋体"/>
            <w:bCs/>
            <w:color w:val="000000"/>
            <w:sz w:val="28"/>
            <w:szCs w:val="28"/>
            <w:highlight w:val="none"/>
            <w:lang w:val="en-US" w:eastAsia="zh-CN"/>
          </w:rPr>
          <w:delText>2.客户反馈及时度（20分）。对于客户反馈的问题，30分钟（含）内反馈，得20分；30分钟至60分钟（含）内反馈，得15分；60分钟至120分钟（含）内解决，得10分；120分钟以上，得5分。</w:delText>
        </w:r>
      </w:del>
    </w:p>
    <w:p w14:paraId="56272E1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del w:id="62" w:author="user" w:date="2025-08-05T16:39:19Z"/>
          <w:rFonts w:hint="eastAsia" w:ascii="宋体" w:hAnsi="宋体"/>
          <w:bCs/>
          <w:color w:val="000000"/>
          <w:sz w:val="28"/>
          <w:szCs w:val="28"/>
          <w:highlight w:val="none"/>
          <w:lang w:val="en-US" w:eastAsia="zh-CN"/>
        </w:rPr>
      </w:pPr>
      <w:del w:id="63" w:author="user" w:date="2025-08-05T16:39:19Z">
        <w:r>
          <w:rPr>
            <w:rFonts w:hint="eastAsia" w:ascii="宋体" w:hAnsi="宋体"/>
            <w:bCs/>
            <w:color w:val="000000"/>
            <w:sz w:val="28"/>
            <w:szCs w:val="28"/>
            <w:highlight w:val="none"/>
            <w:lang w:val="en-US" w:eastAsia="zh-CN"/>
          </w:rPr>
          <w:delText>3.政府采购数据维护（30分）。保证数据存储、访问、通信、交换的安全，定期评估数据的安全。提供系统数据库维护，包含日常巡检和异常情况处理等维护。</w:delText>
        </w:r>
      </w:del>
    </w:p>
    <w:p w14:paraId="12AFFFC8">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b/>
          <w:bCs/>
          <w:sz w:val="28"/>
          <w:szCs w:val="28"/>
          <w:highlight w:val="none"/>
          <w:lang w:val="en-US" w:eastAsia="zh-CN"/>
        </w:rPr>
      </w:pPr>
      <w:del w:id="64" w:author="user" w:date="2025-08-05T16:39:19Z">
        <w:r>
          <w:rPr>
            <w:rFonts w:hint="eastAsia" w:ascii="宋体" w:hAnsi="宋体"/>
            <w:bCs/>
            <w:color w:val="000000"/>
            <w:sz w:val="28"/>
            <w:szCs w:val="28"/>
            <w:highlight w:val="none"/>
            <w:lang w:val="en-US" w:eastAsia="zh-CN"/>
          </w:rPr>
          <w:delText>4.问题协调解决（30分）。对于采购人、代理机构、评审专家、供应商提出的问题，能主动、高效解决，态度良好</w:delText>
        </w:r>
      </w:del>
      <w:del w:id="65" w:author="user" w:date="2025-08-05T16:39:19Z">
        <w:r>
          <w:rPr>
            <w:rFonts w:hint="eastAsia" w:ascii="宋体" w:hAnsi="宋体" w:eastAsia="宋体" w:cs="宋体"/>
            <w:sz w:val="28"/>
            <w:szCs w:val="28"/>
            <w:highlight w:val="none"/>
            <w:lang w:val="en-US" w:eastAsia="zh-CN"/>
          </w:rPr>
          <w:delText>。</w:delText>
        </w:r>
      </w:del>
    </w:p>
    <w:p w14:paraId="6987A45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b/>
          <w:bCs/>
          <w:sz w:val="28"/>
          <w:szCs w:val="28"/>
          <w:highlight w:val="none"/>
          <w:lang w:val="en-US" w:eastAsia="zh-CN"/>
        </w:rPr>
      </w:pPr>
      <w:del w:id="66" w:author="user" w:date="2025-08-05T16:39:31Z">
        <w:r>
          <w:rPr>
            <w:rFonts w:hint="eastAsia" w:ascii="宋体" w:hAnsi="宋体" w:eastAsia="宋体" w:cs="宋体"/>
            <w:b/>
            <w:bCs/>
            <w:sz w:val="28"/>
            <w:szCs w:val="28"/>
            <w:highlight w:val="none"/>
            <w:lang w:val="en-US" w:eastAsia="zh-CN"/>
          </w:rPr>
          <w:delText>（二）</w:delText>
        </w:r>
      </w:del>
      <w:r>
        <w:rPr>
          <w:rFonts w:hint="eastAsia" w:ascii="宋体" w:hAnsi="宋体" w:eastAsia="宋体" w:cs="宋体"/>
          <w:b/>
          <w:bCs/>
          <w:sz w:val="28"/>
          <w:szCs w:val="28"/>
          <w:highlight w:val="none"/>
          <w:lang w:val="en-US" w:eastAsia="zh-CN"/>
        </w:rPr>
        <w:t>验收方式</w:t>
      </w:r>
    </w:p>
    <w:tbl>
      <w:tblPr>
        <w:tblStyle w:val="12"/>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7"/>
        <w:gridCol w:w="6669"/>
      </w:tblGrid>
      <w:tr w14:paraId="5D7EA5B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14:paraId="3317AE7F">
            <w:pPr>
              <w:widowControl/>
              <w:jc w:val="center"/>
              <w:rPr>
                <w:rFonts w:ascii="宋体" w:hAnsi="宋体" w:eastAsia="宋体" w:cs="宋体"/>
                <w:b/>
                <w:bCs/>
                <w:kern w:val="0"/>
                <w:szCs w:val="21"/>
                <w:highlight w:val="none"/>
              </w:rPr>
            </w:pPr>
            <w:r>
              <w:rPr>
                <w:rFonts w:ascii="宋体" w:hAnsi="宋体" w:eastAsia="宋体" w:cs="宋体"/>
                <w:b/>
                <w:bCs/>
                <w:kern w:val="0"/>
                <w:szCs w:val="21"/>
                <w:highlight w:val="none"/>
              </w:rPr>
              <w:t>验收期次</w:t>
            </w:r>
          </w:p>
        </w:tc>
        <w:tc>
          <w:tcPr>
            <w:tcW w:w="6669" w:type="dxa"/>
            <w:tcBorders>
              <w:top w:val="outset" w:color="auto" w:sz="6" w:space="0"/>
              <w:left w:val="outset" w:color="auto" w:sz="6" w:space="0"/>
              <w:bottom w:val="outset" w:color="auto" w:sz="6" w:space="0"/>
              <w:right w:val="outset" w:color="auto" w:sz="6" w:space="0"/>
            </w:tcBorders>
            <w:vAlign w:val="center"/>
          </w:tcPr>
          <w:p w14:paraId="077306DC">
            <w:pPr>
              <w:widowControl/>
              <w:jc w:val="center"/>
              <w:rPr>
                <w:rFonts w:ascii="宋体" w:hAnsi="宋体" w:eastAsia="宋体" w:cs="宋体"/>
                <w:b/>
                <w:bCs/>
                <w:kern w:val="0"/>
                <w:szCs w:val="21"/>
                <w:highlight w:val="none"/>
              </w:rPr>
            </w:pPr>
            <w:r>
              <w:rPr>
                <w:rFonts w:ascii="宋体" w:hAnsi="宋体" w:eastAsia="宋体" w:cs="宋体"/>
                <w:b/>
                <w:bCs/>
                <w:kern w:val="0"/>
                <w:szCs w:val="21"/>
                <w:highlight w:val="none"/>
              </w:rPr>
              <w:t>验收期次说明</w:t>
            </w:r>
          </w:p>
        </w:tc>
      </w:tr>
      <w:tr w14:paraId="175722E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14:paraId="25C2DB1D">
            <w:pPr>
              <w:widowControl/>
              <w:jc w:val="center"/>
              <w:rPr>
                <w:rFonts w:ascii="宋体" w:hAnsi="宋体" w:eastAsia="宋体" w:cs="宋体"/>
                <w:kern w:val="0"/>
                <w:szCs w:val="21"/>
                <w:highlight w:val="none"/>
              </w:rPr>
            </w:pPr>
            <w:ins w:id="67" w:author="曾" w:date="2025-08-05T17:09:08Z">
              <w:r>
                <w:rPr>
                  <w:rFonts w:hint="eastAsia" w:ascii="宋体" w:hAnsi="宋体" w:eastAsia="宋体" w:cs="宋体"/>
                  <w:kern w:val="0"/>
                  <w:szCs w:val="21"/>
                  <w:highlight w:val="none"/>
                  <w:lang w:val="en-US" w:eastAsia="zh-CN"/>
                </w:rPr>
                <w:t>1</w:t>
              </w:r>
            </w:ins>
            <w:del w:id="68" w:author="曾" w:date="2025-08-05T17:05:09Z">
              <w:r>
                <w:rPr>
                  <w:rFonts w:ascii="宋体" w:hAnsi="宋体" w:eastAsia="宋体" w:cs="宋体"/>
                  <w:kern w:val="0"/>
                  <w:szCs w:val="21"/>
                  <w:highlight w:val="none"/>
                </w:rPr>
                <w:delText>1</w:delText>
              </w:r>
            </w:del>
          </w:p>
        </w:tc>
        <w:tc>
          <w:tcPr>
            <w:tcW w:w="6669" w:type="dxa"/>
            <w:tcBorders>
              <w:top w:val="outset" w:color="auto" w:sz="6" w:space="0"/>
              <w:left w:val="outset" w:color="auto" w:sz="6" w:space="0"/>
              <w:bottom w:val="outset" w:color="auto" w:sz="6" w:space="0"/>
              <w:right w:val="outset" w:color="auto" w:sz="6" w:space="0"/>
            </w:tcBorders>
            <w:vAlign w:val="center"/>
          </w:tcPr>
          <w:p w14:paraId="06C43E10">
            <w:pPr>
              <w:widowControl/>
              <w:jc w:val="left"/>
              <w:rPr>
                <w:rFonts w:hint="eastAsia" w:ascii="宋体" w:hAnsi="宋体" w:eastAsia="宋体" w:cs="宋体"/>
                <w:kern w:val="0"/>
                <w:szCs w:val="21"/>
                <w:highlight w:val="none"/>
                <w:lang w:eastAsia="zh-CN"/>
              </w:rPr>
              <w:pPrChange w:id="69" w:author="曾" w:date="2025-08-05T17:18:28Z">
                <w:pPr>
                  <w:widowControl/>
                  <w:jc w:val="center"/>
                </w:pPr>
              </w:pPrChange>
            </w:pPr>
            <w:ins w:id="70" w:author="曾" w:date="2025-08-05T17:11:35Z">
              <w:r>
                <w:rPr>
                  <w:rFonts w:hint="eastAsia" w:ascii="宋体" w:hAnsi="宋体" w:eastAsia="宋体" w:cs="宋体"/>
                  <w:kern w:val="0"/>
                  <w:sz w:val="21"/>
                  <w:szCs w:val="21"/>
                  <w:highlight w:val="none"/>
                </w:rPr>
                <w:t>202</w:t>
              </w:r>
            </w:ins>
            <w:ins w:id="71" w:author="曾" w:date="2025-08-05T17:11:35Z">
              <w:r>
                <w:rPr>
                  <w:rFonts w:hint="eastAsia" w:ascii="宋体" w:hAnsi="宋体" w:eastAsia="宋体" w:cs="宋体"/>
                  <w:kern w:val="0"/>
                  <w:sz w:val="21"/>
                  <w:szCs w:val="21"/>
                  <w:highlight w:val="none"/>
                  <w:lang w:val="en-US" w:eastAsia="zh-CN"/>
                </w:rPr>
                <w:t>5</w:t>
              </w:r>
            </w:ins>
            <w:ins w:id="72" w:author="曾" w:date="2025-08-05T17:11:35Z">
              <w:r>
                <w:rPr>
                  <w:rFonts w:hint="eastAsia" w:ascii="宋体" w:hAnsi="宋体" w:eastAsia="宋体" w:cs="宋体"/>
                  <w:kern w:val="0"/>
                  <w:sz w:val="21"/>
                  <w:szCs w:val="21"/>
                  <w:highlight w:val="none"/>
                </w:rPr>
                <w:t>年12月15日</w:t>
              </w:r>
            </w:ins>
            <w:ins w:id="73" w:author="曾" w:date="2025-08-05T17:11:39Z">
              <w:r>
                <w:rPr>
                  <w:rFonts w:hint="eastAsia" w:ascii="宋体" w:hAnsi="宋体" w:eastAsia="宋体" w:cs="宋体"/>
                  <w:kern w:val="0"/>
                  <w:sz w:val="21"/>
                  <w:szCs w:val="21"/>
                  <w:highlight w:val="none"/>
                  <w:lang w:val="en-US" w:eastAsia="zh-CN"/>
                </w:rPr>
                <w:t>前</w:t>
              </w:r>
            </w:ins>
            <w:ins w:id="74" w:author="曾" w:date="2025-08-05T17:11:40Z">
              <w:r>
                <w:rPr>
                  <w:rFonts w:hint="eastAsia" w:ascii="宋体" w:hAnsi="宋体" w:eastAsia="宋体" w:cs="宋体"/>
                  <w:kern w:val="0"/>
                  <w:sz w:val="21"/>
                  <w:szCs w:val="21"/>
                  <w:highlight w:val="none"/>
                  <w:lang w:val="en-US" w:eastAsia="zh-CN"/>
                </w:rPr>
                <w:t>，</w:t>
              </w:r>
            </w:ins>
            <w:ins w:id="75" w:author="曾" w:date="2025-08-05T17:12:10Z">
              <w:r>
                <w:rPr>
                  <w:rFonts w:hint="eastAsia" w:ascii="宋体" w:hAnsi="宋体" w:eastAsia="宋体" w:cs="宋体"/>
                  <w:kern w:val="0"/>
                  <w:sz w:val="21"/>
                  <w:szCs w:val="21"/>
                  <w:highlight w:val="none"/>
                  <w:lang w:val="en-US" w:eastAsia="zh-CN"/>
                </w:rPr>
                <w:t>由</w:t>
              </w:r>
            </w:ins>
            <w:ins w:id="76" w:author="曾" w:date="2025-08-05T17:12:26Z">
              <w:r>
                <w:rPr>
                  <w:rFonts w:hint="eastAsia" w:ascii="宋体" w:hAnsi="宋体" w:eastAsia="宋体" w:cs="宋体"/>
                  <w:kern w:val="0"/>
                  <w:sz w:val="21"/>
                  <w:szCs w:val="21"/>
                  <w:highlight w:val="none"/>
                  <w:lang w:val="en-US" w:eastAsia="zh-CN"/>
                </w:rPr>
                <w:t>泉州市</w:t>
              </w:r>
            </w:ins>
            <w:ins w:id="77" w:author="曾" w:date="2025-08-05T17:12:30Z">
              <w:r>
                <w:rPr>
                  <w:rFonts w:hint="eastAsia" w:ascii="宋体" w:hAnsi="宋体" w:eastAsia="宋体" w:cs="宋体"/>
                  <w:kern w:val="0"/>
                  <w:sz w:val="21"/>
                  <w:szCs w:val="21"/>
                  <w:highlight w:val="none"/>
                  <w:lang w:val="en-US" w:eastAsia="zh-CN"/>
                </w:rPr>
                <w:t>采购</w:t>
              </w:r>
            </w:ins>
            <w:ins w:id="78" w:author="曾" w:date="2025-08-05T17:12:31Z">
              <w:r>
                <w:rPr>
                  <w:rFonts w:hint="eastAsia" w:ascii="宋体" w:hAnsi="宋体" w:eastAsia="宋体" w:cs="宋体"/>
                  <w:kern w:val="0"/>
                  <w:sz w:val="21"/>
                  <w:szCs w:val="21"/>
                  <w:highlight w:val="none"/>
                  <w:lang w:val="en-US" w:eastAsia="zh-CN"/>
                </w:rPr>
                <w:t>监督</w:t>
              </w:r>
            </w:ins>
            <w:ins w:id="79" w:author="曾" w:date="2025-08-05T17:12:33Z">
              <w:r>
                <w:rPr>
                  <w:rFonts w:hint="eastAsia" w:ascii="宋体" w:hAnsi="宋体" w:eastAsia="宋体" w:cs="宋体"/>
                  <w:kern w:val="0"/>
                  <w:sz w:val="21"/>
                  <w:szCs w:val="21"/>
                  <w:highlight w:val="none"/>
                  <w:lang w:val="en-US" w:eastAsia="zh-CN"/>
                </w:rPr>
                <w:t>管理办公室</w:t>
              </w:r>
            </w:ins>
            <w:ins w:id="80" w:author="曾" w:date="2025-08-05T17:11:42Z">
              <w:r>
                <w:rPr>
                  <w:rFonts w:hint="eastAsia" w:ascii="宋体" w:hAnsi="宋体" w:eastAsia="宋体" w:cs="宋体"/>
                  <w:kern w:val="0"/>
                  <w:sz w:val="21"/>
                  <w:szCs w:val="21"/>
                  <w:highlight w:val="none"/>
                  <w:lang w:val="en-US" w:eastAsia="zh-CN"/>
                </w:rPr>
                <w:t>对</w:t>
              </w:r>
            </w:ins>
            <w:ins w:id="81" w:author="曾" w:date="2025-08-05T17:11:43Z">
              <w:r>
                <w:rPr>
                  <w:rFonts w:hint="eastAsia" w:ascii="宋体" w:hAnsi="宋体" w:eastAsia="宋体" w:cs="宋体"/>
                  <w:kern w:val="0"/>
                  <w:sz w:val="21"/>
                  <w:szCs w:val="21"/>
                  <w:highlight w:val="none"/>
                  <w:lang w:val="en-US" w:eastAsia="zh-CN"/>
                </w:rPr>
                <w:t>2025</w:t>
              </w:r>
            </w:ins>
            <w:ins w:id="82" w:author="曾" w:date="2025-08-05T17:11:47Z">
              <w:r>
                <w:rPr>
                  <w:rFonts w:hint="eastAsia" w:ascii="宋体" w:hAnsi="宋体" w:eastAsia="宋体" w:cs="宋体"/>
                  <w:kern w:val="0"/>
                  <w:sz w:val="21"/>
                  <w:szCs w:val="21"/>
                  <w:highlight w:val="none"/>
                  <w:lang w:val="en-US" w:eastAsia="zh-CN"/>
                </w:rPr>
                <w:t>年</w:t>
              </w:r>
            </w:ins>
            <w:ins w:id="83" w:author="曾" w:date="2025-08-05T17:11:48Z">
              <w:r>
                <w:rPr>
                  <w:rFonts w:hint="eastAsia" w:ascii="宋体" w:hAnsi="宋体" w:eastAsia="宋体" w:cs="宋体"/>
                  <w:kern w:val="0"/>
                  <w:sz w:val="21"/>
                  <w:szCs w:val="21"/>
                  <w:highlight w:val="none"/>
                  <w:lang w:val="en-US" w:eastAsia="zh-CN"/>
                </w:rPr>
                <w:t>服务</w:t>
              </w:r>
            </w:ins>
            <w:ins w:id="84" w:author="曾" w:date="2025-08-05T17:11:51Z">
              <w:r>
                <w:rPr>
                  <w:rFonts w:hint="eastAsia" w:ascii="宋体" w:hAnsi="宋体" w:eastAsia="宋体" w:cs="宋体"/>
                  <w:kern w:val="0"/>
                  <w:sz w:val="21"/>
                  <w:szCs w:val="21"/>
                  <w:highlight w:val="none"/>
                  <w:lang w:val="en-US" w:eastAsia="zh-CN"/>
                </w:rPr>
                <w:t>事项</w:t>
              </w:r>
            </w:ins>
            <w:ins w:id="85" w:author="曾" w:date="2025-08-05T17:11:53Z">
              <w:r>
                <w:rPr>
                  <w:rFonts w:hint="eastAsia" w:ascii="宋体" w:hAnsi="宋体" w:eastAsia="宋体" w:cs="宋体"/>
                  <w:kern w:val="0"/>
                  <w:sz w:val="21"/>
                  <w:szCs w:val="21"/>
                  <w:highlight w:val="none"/>
                  <w:lang w:val="en-US" w:eastAsia="zh-CN"/>
                </w:rPr>
                <w:t>进行</w:t>
              </w:r>
            </w:ins>
            <w:ins w:id="86" w:author="曾" w:date="2025-08-05T17:11:56Z">
              <w:r>
                <w:rPr>
                  <w:rFonts w:hint="eastAsia" w:ascii="宋体" w:hAnsi="宋体" w:eastAsia="宋体" w:cs="宋体"/>
                  <w:kern w:val="0"/>
                  <w:sz w:val="21"/>
                  <w:szCs w:val="21"/>
                  <w:highlight w:val="none"/>
                  <w:lang w:val="en-US" w:eastAsia="zh-CN"/>
                </w:rPr>
                <w:t>评价</w:t>
              </w:r>
            </w:ins>
            <w:ins w:id="87" w:author="曾" w:date="2025-08-05T17:11:59Z">
              <w:r>
                <w:rPr>
                  <w:rFonts w:hint="eastAsia" w:ascii="宋体" w:hAnsi="宋体" w:eastAsia="宋体" w:cs="宋体"/>
                  <w:kern w:val="0"/>
                  <w:sz w:val="21"/>
                  <w:szCs w:val="21"/>
                  <w:highlight w:val="none"/>
                  <w:lang w:val="en-US" w:eastAsia="zh-CN"/>
                </w:rPr>
                <w:t>确认</w:t>
              </w:r>
            </w:ins>
            <w:ins w:id="88" w:author="曾" w:date="2025-08-05T17:18:32Z">
              <w:r>
                <w:rPr>
                  <w:rFonts w:hint="eastAsia" w:ascii="宋体" w:hAnsi="宋体" w:eastAsia="宋体" w:cs="宋体"/>
                  <w:kern w:val="0"/>
                  <w:sz w:val="21"/>
                  <w:szCs w:val="21"/>
                  <w:highlight w:val="none"/>
                  <w:lang w:val="en-US" w:eastAsia="zh-CN"/>
                </w:rPr>
                <w:t>。</w:t>
              </w:r>
            </w:ins>
            <w:del w:id="89" w:author="user" w:date="2025-08-05T16:39:27Z">
              <w:r>
                <w:rPr>
                  <w:rFonts w:hint="eastAsia" w:ascii="宋体" w:hAnsi="宋体" w:eastAsia="宋体" w:cs="宋体"/>
                  <w:kern w:val="0"/>
                  <w:sz w:val="21"/>
                  <w:szCs w:val="21"/>
                  <w:highlight w:val="none"/>
                </w:rPr>
                <w:delText>202</w:delText>
              </w:r>
            </w:del>
            <w:del w:id="90" w:author="user" w:date="2025-08-05T16:39:27Z">
              <w:r>
                <w:rPr>
                  <w:rFonts w:hint="eastAsia" w:ascii="宋体" w:hAnsi="宋体" w:eastAsia="宋体" w:cs="宋体"/>
                  <w:kern w:val="0"/>
                  <w:sz w:val="21"/>
                  <w:szCs w:val="21"/>
                  <w:highlight w:val="none"/>
                  <w:lang w:val="en-US" w:eastAsia="zh-CN"/>
                </w:rPr>
                <w:delText>5</w:delText>
              </w:r>
            </w:del>
            <w:del w:id="91" w:author="user" w:date="2025-08-05T16:39:27Z">
              <w:r>
                <w:rPr>
                  <w:rFonts w:hint="eastAsia" w:ascii="宋体" w:hAnsi="宋体" w:eastAsia="宋体" w:cs="宋体"/>
                  <w:kern w:val="0"/>
                  <w:sz w:val="21"/>
                  <w:szCs w:val="21"/>
                  <w:highlight w:val="none"/>
                </w:rPr>
                <w:delText>年12月15日前</w:delText>
              </w:r>
            </w:del>
            <w:del w:id="92" w:author="user" w:date="2025-08-05T16:39:27Z">
              <w:r>
                <w:rPr>
                  <w:rFonts w:hint="eastAsia" w:ascii="宋体" w:hAnsi="宋体" w:eastAsia="宋体" w:cs="宋体"/>
                  <w:kern w:val="0"/>
                  <w:sz w:val="21"/>
                  <w:szCs w:val="21"/>
                  <w:highlight w:val="none"/>
                  <w:lang w:eastAsia="zh-CN"/>
                </w:rPr>
                <w:delText>组织验收考评，考评</w:delText>
              </w:r>
            </w:del>
            <w:del w:id="93" w:author="user" w:date="2025-08-05T16:39:27Z">
              <w:r>
                <w:rPr>
                  <w:rFonts w:hint="eastAsia" w:ascii="宋体" w:hAnsi="宋体" w:eastAsia="宋体" w:cs="宋体"/>
                  <w:kern w:val="0"/>
                  <w:sz w:val="21"/>
                  <w:szCs w:val="21"/>
                  <w:highlight w:val="none"/>
                  <w:lang w:val="en-US" w:eastAsia="zh-CN"/>
                </w:rPr>
                <w:delText>80分（含）以上通过验收。</w:delText>
              </w:r>
            </w:del>
          </w:p>
        </w:tc>
      </w:tr>
    </w:tbl>
    <w:p w14:paraId="47204339">
      <w:pPr>
        <w:keepNext w:val="0"/>
        <w:keepLines w:val="0"/>
        <w:pageBreakBefore w:val="0"/>
        <w:widowControl w:val="0"/>
        <w:kinsoku/>
        <w:wordWrap/>
        <w:overflowPunct/>
        <w:topLinePunct w:val="0"/>
        <w:autoSpaceDE/>
        <w:autoSpaceDN/>
        <w:bidi w:val="0"/>
        <w:adjustRightInd/>
        <w:snapToGrid/>
        <w:spacing w:line="560" w:lineRule="exact"/>
        <w:textAlignment w:val="auto"/>
        <w:rPr>
          <w:ins w:id="94" w:author="user" w:date="2025-08-05T16:39:41Z"/>
          <w:rFonts w:hint="eastAsia" w:ascii="宋体" w:hAnsi="宋体" w:eastAsia="宋体" w:cs="宋体"/>
          <w:b/>
          <w:bCs/>
          <w:sz w:val="28"/>
          <w:szCs w:val="28"/>
          <w:highlight w:val="none"/>
          <w:lang w:val="en-US" w:eastAsia="zh-CN"/>
        </w:rPr>
      </w:pPr>
    </w:p>
    <w:p w14:paraId="5B99542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四、支付方式</w:t>
      </w:r>
    </w:p>
    <w:tbl>
      <w:tblPr>
        <w:tblStyle w:val="12"/>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7"/>
        <w:gridCol w:w="1667"/>
        <w:gridCol w:w="5002"/>
      </w:tblGrid>
      <w:tr w14:paraId="3A9E94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14:paraId="04A2B969">
            <w:pPr>
              <w:widowControl/>
              <w:jc w:val="center"/>
              <w:rPr>
                <w:rFonts w:ascii="宋体" w:hAnsi="宋体" w:eastAsia="宋体" w:cs="宋体"/>
                <w:b/>
                <w:bCs/>
                <w:kern w:val="0"/>
                <w:szCs w:val="21"/>
                <w:highlight w:val="none"/>
              </w:rPr>
            </w:pPr>
            <w:r>
              <w:rPr>
                <w:rFonts w:ascii="宋体" w:hAnsi="宋体" w:eastAsia="宋体" w:cs="宋体"/>
                <w:b/>
                <w:bCs/>
                <w:kern w:val="0"/>
                <w:szCs w:val="21"/>
                <w:highlight w:val="none"/>
              </w:rPr>
              <w:t>支付期次</w:t>
            </w:r>
          </w:p>
        </w:tc>
        <w:tc>
          <w:tcPr>
            <w:tcW w:w="1667" w:type="dxa"/>
            <w:tcBorders>
              <w:top w:val="outset" w:color="auto" w:sz="6" w:space="0"/>
              <w:left w:val="outset" w:color="auto" w:sz="6" w:space="0"/>
              <w:bottom w:val="outset" w:color="auto" w:sz="6" w:space="0"/>
              <w:right w:val="outset" w:color="auto" w:sz="6" w:space="0"/>
            </w:tcBorders>
            <w:vAlign w:val="center"/>
          </w:tcPr>
          <w:p w14:paraId="0F0E3EC7">
            <w:pPr>
              <w:widowControl/>
              <w:jc w:val="center"/>
              <w:rPr>
                <w:rFonts w:ascii="宋体" w:hAnsi="宋体" w:eastAsia="宋体" w:cs="宋体"/>
                <w:b/>
                <w:bCs/>
                <w:kern w:val="0"/>
                <w:szCs w:val="21"/>
                <w:highlight w:val="none"/>
              </w:rPr>
            </w:pPr>
            <w:r>
              <w:rPr>
                <w:rFonts w:ascii="宋体" w:hAnsi="宋体" w:eastAsia="宋体" w:cs="宋体"/>
                <w:b/>
                <w:bCs/>
                <w:kern w:val="0"/>
                <w:szCs w:val="21"/>
                <w:highlight w:val="none"/>
              </w:rPr>
              <w:t>支付比例(%)</w:t>
            </w:r>
          </w:p>
        </w:tc>
        <w:tc>
          <w:tcPr>
            <w:tcW w:w="5002" w:type="dxa"/>
            <w:tcBorders>
              <w:top w:val="outset" w:color="auto" w:sz="6" w:space="0"/>
              <w:left w:val="outset" w:color="auto" w:sz="6" w:space="0"/>
              <w:bottom w:val="outset" w:color="auto" w:sz="6" w:space="0"/>
              <w:right w:val="outset" w:color="auto" w:sz="6" w:space="0"/>
            </w:tcBorders>
            <w:vAlign w:val="center"/>
          </w:tcPr>
          <w:p w14:paraId="142368CC">
            <w:pPr>
              <w:widowControl/>
              <w:jc w:val="center"/>
              <w:rPr>
                <w:rFonts w:ascii="宋体" w:hAnsi="宋体" w:eastAsia="宋体" w:cs="宋体"/>
                <w:b/>
                <w:bCs/>
                <w:kern w:val="0"/>
                <w:szCs w:val="21"/>
                <w:highlight w:val="none"/>
              </w:rPr>
            </w:pPr>
            <w:r>
              <w:rPr>
                <w:rFonts w:ascii="宋体" w:hAnsi="宋体" w:eastAsia="宋体" w:cs="宋体"/>
                <w:b/>
                <w:bCs/>
                <w:kern w:val="0"/>
                <w:szCs w:val="21"/>
                <w:highlight w:val="none"/>
              </w:rPr>
              <w:t>支付期次说明</w:t>
            </w:r>
          </w:p>
        </w:tc>
      </w:tr>
      <w:tr w14:paraId="38E94C9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14:paraId="68C3771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w:t>
            </w:r>
          </w:p>
        </w:tc>
        <w:tc>
          <w:tcPr>
            <w:tcW w:w="1667" w:type="dxa"/>
            <w:tcBorders>
              <w:top w:val="outset" w:color="auto" w:sz="6" w:space="0"/>
              <w:left w:val="outset" w:color="auto" w:sz="6" w:space="0"/>
              <w:bottom w:val="outset" w:color="auto" w:sz="6" w:space="0"/>
              <w:right w:val="outset" w:color="auto" w:sz="6" w:space="0"/>
            </w:tcBorders>
            <w:vAlign w:val="center"/>
          </w:tcPr>
          <w:p w14:paraId="5A391F1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50</w:t>
            </w:r>
          </w:p>
        </w:tc>
        <w:tc>
          <w:tcPr>
            <w:tcW w:w="5002" w:type="dxa"/>
            <w:tcBorders>
              <w:top w:val="outset" w:color="auto" w:sz="6" w:space="0"/>
              <w:left w:val="outset" w:color="auto" w:sz="6" w:space="0"/>
              <w:bottom w:val="outset" w:color="auto" w:sz="6" w:space="0"/>
              <w:right w:val="outset" w:color="auto" w:sz="6" w:space="0"/>
            </w:tcBorders>
            <w:vAlign w:val="center"/>
          </w:tcPr>
          <w:p w14:paraId="1CBE8CF2">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采购合同签订后</w:t>
            </w:r>
            <w:r>
              <w:rPr>
                <w:rFonts w:hint="eastAsia" w:ascii="宋体" w:hAnsi="宋体" w:eastAsia="宋体" w:cs="宋体"/>
                <w:kern w:val="0"/>
                <w:szCs w:val="21"/>
                <w:highlight w:val="none"/>
                <w:lang w:val="en-US" w:eastAsia="zh-CN"/>
              </w:rPr>
              <w:t>10</w:t>
            </w:r>
            <w:r>
              <w:rPr>
                <w:rFonts w:hint="eastAsia" w:ascii="宋体" w:hAnsi="宋体" w:eastAsia="宋体" w:cs="宋体"/>
                <w:kern w:val="0"/>
                <w:szCs w:val="21"/>
                <w:highlight w:val="none"/>
              </w:rPr>
              <w:t>个工作日内支付</w:t>
            </w:r>
            <w:r>
              <w:rPr>
                <w:rFonts w:hint="eastAsia" w:ascii="宋体" w:hAnsi="宋体" w:eastAsia="宋体" w:cs="宋体"/>
                <w:kern w:val="0"/>
                <w:szCs w:val="21"/>
                <w:highlight w:val="none"/>
                <w:lang w:eastAsia="zh-CN"/>
              </w:rPr>
              <w:t>合同金额的</w:t>
            </w:r>
            <w:r>
              <w:rPr>
                <w:rFonts w:hint="eastAsia" w:ascii="宋体" w:hAnsi="宋体" w:eastAsia="宋体" w:cs="宋体"/>
                <w:kern w:val="0"/>
                <w:szCs w:val="21"/>
                <w:highlight w:val="none"/>
              </w:rPr>
              <w:t>50%。</w:t>
            </w:r>
          </w:p>
        </w:tc>
      </w:tr>
      <w:tr w14:paraId="467ABA3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14:paraId="2B589206">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2</w:t>
            </w:r>
          </w:p>
        </w:tc>
        <w:tc>
          <w:tcPr>
            <w:tcW w:w="1667" w:type="dxa"/>
            <w:tcBorders>
              <w:top w:val="outset" w:color="auto" w:sz="6" w:space="0"/>
              <w:left w:val="outset" w:color="auto" w:sz="6" w:space="0"/>
              <w:bottom w:val="outset" w:color="auto" w:sz="6" w:space="0"/>
              <w:right w:val="outset" w:color="auto" w:sz="6" w:space="0"/>
            </w:tcBorders>
            <w:vAlign w:val="center"/>
          </w:tcPr>
          <w:p w14:paraId="6AF8DA9C">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50</w:t>
            </w:r>
          </w:p>
        </w:tc>
        <w:tc>
          <w:tcPr>
            <w:tcW w:w="5002" w:type="dxa"/>
            <w:tcBorders>
              <w:top w:val="outset" w:color="auto" w:sz="6" w:space="0"/>
              <w:left w:val="outset" w:color="auto" w:sz="6" w:space="0"/>
              <w:bottom w:val="outset" w:color="auto" w:sz="6" w:space="0"/>
              <w:right w:val="outset" w:color="auto" w:sz="6" w:space="0"/>
            </w:tcBorders>
            <w:vAlign w:val="center"/>
          </w:tcPr>
          <w:p w14:paraId="238EBF30">
            <w:pPr>
              <w:widowControl/>
              <w:jc w:val="left"/>
              <w:rPr>
                <w:rFonts w:ascii="宋体" w:hAnsi="宋体" w:eastAsia="宋体" w:cs="宋体"/>
                <w:kern w:val="0"/>
                <w:szCs w:val="21"/>
                <w:highlight w:val="none"/>
              </w:rPr>
            </w:pPr>
            <w:r>
              <w:rPr>
                <w:rFonts w:hint="eastAsia" w:ascii="宋体" w:hAnsi="宋体" w:eastAsia="宋体" w:cs="宋体"/>
                <w:kern w:val="0"/>
                <w:sz w:val="21"/>
                <w:szCs w:val="21"/>
                <w:highlight w:val="none"/>
              </w:rPr>
              <w:t>202</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年12月15日前</w:t>
            </w:r>
            <w:del w:id="95" w:author="曾" w:date="2025-08-05T17:10:10Z">
              <w:r>
                <w:rPr>
                  <w:rFonts w:hint="default" w:ascii="宋体" w:hAnsi="宋体" w:eastAsia="宋体" w:cs="宋体"/>
                  <w:kern w:val="0"/>
                  <w:sz w:val="21"/>
                  <w:szCs w:val="21"/>
                  <w:highlight w:val="none"/>
                  <w:lang w:val="en-US" w:eastAsia="zh-CN"/>
                </w:rPr>
                <w:delText>组织验收考评</w:delText>
              </w:r>
            </w:del>
            <w:del w:id="96" w:author="曾" w:date="2025-08-05T17:10:10Z">
              <w:r>
                <w:rPr>
                  <w:rFonts w:hint="default" w:ascii="宋体" w:hAnsi="宋体" w:eastAsia="宋体" w:cs="宋体"/>
                  <w:color w:val="auto"/>
                  <w:kern w:val="0"/>
                  <w:sz w:val="21"/>
                  <w:szCs w:val="21"/>
                  <w:highlight w:val="none"/>
                  <w:lang w:val="en-US" w:eastAsia="zh-CN"/>
                </w:rPr>
                <w:delText>合格后</w:delText>
              </w:r>
            </w:del>
            <w:ins w:id="97" w:author="曾" w:date="2025-08-05T17:10:12Z">
              <w:r>
                <w:rPr>
                  <w:rFonts w:hint="eastAsia" w:ascii="宋体" w:hAnsi="宋体" w:eastAsia="宋体" w:cs="宋体"/>
                  <w:color w:val="auto"/>
                  <w:kern w:val="0"/>
                  <w:sz w:val="21"/>
                  <w:szCs w:val="21"/>
                  <w:highlight w:val="none"/>
                  <w:lang w:val="en-US" w:eastAsia="zh-CN"/>
                </w:rPr>
                <w:t>进行</w:t>
              </w:r>
            </w:ins>
            <w:ins w:id="98" w:author="曾" w:date="2025-08-05T17:10:13Z">
              <w:r>
                <w:rPr>
                  <w:rFonts w:hint="eastAsia" w:ascii="宋体" w:hAnsi="宋体" w:eastAsia="宋体" w:cs="宋体"/>
                  <w:color w:val="auto"/>
                  <w:kern w:val="0"/>
                  <w:sz w:val="21"/>
                  <w:szCs w:val="21"/>
                  <w:highlight w:val="none"/>
                  <w:lang w:val="en-US" w:eastAsia="zh-CN"/>
                </w:rPr>
                <w:t>服务</w:t>
              </w:r>
            </w:ins>
            <w:ins w:id="99" w:author="曾" w:date="2025-08-05T17:10:14Z">
              <w:r>
                <w:rPr>
                  <w:rFonts w:hint="eastAsia" w:ascii="宋体" w:hAnsi="宋体" w:eastAsia="宋体" w:cs="宋体"/>
                  <w:color w:val="auto"/>
                  <w:kern w:val="0"/>
                  <w:sz w:val="21"/>
                  <w:szCs w:val="21"/>
                  <w:highlight w:val="none"/>
                  <w:lang w:val="en-US" w:eastAsia="zh-CN"/>
                </w:rPr>
                <w:t>评价</w:t>
              </w:r>
            </w:ins>
            <w:ins w:id="100" w:author="曾" w:date="2025-08-05T17:10:18Z">
              <w:r>
                <w:rPr>
                  <w:rFonts w:hint="eastAsia" w:ascii="宋体" w:hAnsi="宋体" w:eastAsia="宋体" w:cs="宋体"/>
                  <w:color w:val="auto"/>
                  <w:kern w:val="0"/>
                  <w:sz w:val="21"/>
                  <w:szCs w:val="21"/>
                  <w:highlight w:val="none"/>
                  <w:lang w:val="en-US" w:eastAsia="zh-CN"/>
                </w:rPr>
                <w:t>，</w:t>
              </w:r>
            </w:ins>
            <w:r>
              <w:rPr>
                <w:rFonts w:hint="eastAsia" w:ascii="宋体" w:hAnsi="宋体" w:eastAsia="宋体" w:cs="宋体"/>
                <w:color w:val="auto"/>
                <w:kern w:val="0"/>
                <w:sz w:val="21"/>
                <w:szCs w:val="21"/>
                <w:highlight w:val="none"/>
                <w:lang w:val="en-US" w:eastAsia="zh-CN"/>
              </w:rPr>
              <w:t>10</w:t>
            </w:r>
            <w:r>
              <w:rPr>
                <w:rFonts w:ascii="宋体" w:hAnsi="宋体" w:eastAsia="宋体" w:cs="宋体"/>
                <w:color w:val="auto"/>
                <w:kern w:val="0"/>
                <w:sz w:val="21"/>
                <w:szCs w:val="21"/>
                <w:highlight w:val="none"/>
              </w:rPr>
              <w:t>个工作日内支付</w:t>
            </w:r>
            <w:ins w:id="101" w:author="曾" w:date="2025-08-05T17:10:45Z">
              <w:r>
                <w:rPr>
                  <w:rFonts w:hint="eastAsia" w:ascii="宋体" w:hAnsi="宋体" w:eastAsia="宋体" w:cs="宋体"/>
                  <w:color w:val="auto"/>
                  <w:kern w:val="0"/>
                  <w:sz w:val="21"/>
                  <w:szCs w:val="21"/>
                  <w:highlight w:val="none"/>
                  <w:lang w:val="en-US" w:eastAsia="zh-CN"/>
                </w:rPr>
                <w:t>二</w:t>
              </w:r>
            </w:ins>
            <w:ins w:id="102" w:author="曾" w:date="2025-08-05T17:10:49Z">
              <w:r>
                <w:rPr>
                  <w:rFonts w:hint="eastAsia" w:ascii="宋体" w:hAnsi="宋体" w:eastAsia="宋体" w:cs="宋体"/>
                  <w:color w:val="auto"/>
                  <w:kern w:val="0"/>
                  <w:sz w:val="21"/>
                  <w:szCs w:val="21"/>
                  <w:highlight w:val="none"/>
                  <w:lang w:val="en-US" w:eastAsia="zh-CN"/>
                </w:rPr>
                <w:t>阶段</w:t>
              </w:r>
            </w:ins>
            <w:ins w:id="103" w:author="曾" w:date="2025-08-05T17:10:53Z">
              <w:r>
                <w:rPr>
                  <w:rFonts w:hint="eastAsia" w:ascii="宋体" w:hAnsi="宋体" w:eastAsia="宋体" w:cs="宋体"/>
                  <w:color w:val="auto"/>
                  <w:kern w:val="0"/>
                  <w:sz w:val="21"/>
                  <w:szCs w:val="21"/>
                  <w:highlight w:val="none"/>
                  <w:lang w:val="en-US" w:eastAsia="zh-CN"/>
                </w:rPr>
                <w:t>服务</w:t>
              </w:r>
            </w:ins>
            <w:ins w:id="104" w:author="曾" w:date="2025-08-05T17:10:59Z">
              <w:r>
                <w:rPr>
                  <w:rFonts w:hint="eastAsia" w:ascii="宋体" w:hAnsi="宋体" w:eastAsia="宋体" w:cs="宋体"/>
                  <w:color w:val="auto"/>
                  <w:kern w:val="0"/>
                  <w:sz w:val="21"/>
                  <w:szCs w:val="21"/>
                  <w:highlight w:val="none"/>
                  <w:lang w:val="en-US" w:eastAsia="zh-CN"/>
                </w:rPr>
                <w:t>费用</w:t>
              </w:r>
            </w:ins>
            <w:ins w:id="105" w:author="曾" w:date="2025-08-05T17:11:00Z">
              <w:r>
                <w:rPr>
                  <w:rFonts w:hint="eastAsia" w:ascii="宋体" w:hAnsi="宋体" w:eastAsia="宋体" w:cs="宋体"/>
                  <w:color w:val="auto"/>
                  <w:kern w:val="0"/>
                  <w:sz w:val="21"/>
                  <w:szCs w:val="21"/>
                  <w:highlight w:val="none"/>
                  <w:lang w:val="en-US" w:eastAsia="zh-CN"/>
                </w:rPr>
                <w:t>：</w:t>
              </w:r>
            </w:ins>
            <w:r>
              <w:rPr>
                <w:rFonts w:hint="eastAsia" w:ascii="宋体" w:hAnsi="宋体" w:eastAsia="宋体" w:cs="宋体"/>
                <w:kern w:val="0"/>
                <w:szCs w:val="21"/>
                <w:highlight w:val="none"/>
                <w:lang w:eastAsia="zh-CN"/>
              </w:rPr>
              <w:t>合同金额的</w:t>
            </w:r>
            <w:r>
              <w:rPr>
                <w:rFonts w:hint="eastAsia" w:ascii="宋体" w:hAnsi="宋体" w:eastAsia="宋体" w:cs="宋体"/>
                <w:color w:val="auto"/>
                <w:kern w:val="0"/>
                <w:sz w:val="21"/>
                <w:szCs w:val="21"/>
                <w:highlight w:val="none"/>
                <w:lang w:val="en-US" w:eastAsia="zh-CN"/>
              </w:rPr>
              <w:t>50%。</w:t>
            </w:r>
          </w:p>
        </w:tc>
      </w:tr>
    </w:tbl>
    <w:p w14:paraId="7ECF9CC9">
      <w:pPr>
        <w:pStyle w:val="15"/>
        <w:jc w:val="both"/>
        <w:outlineLvl w:val="2"/>
        <w:rPr>
          <w:highlight w:val="none"/>
        </w:rPr>
      </w:pPr>
    </w:p>
    <w:p w14:paraId="073F3634">
      <w:pPr>
        <w:pStyle w:val="15"/>
        <w:jc w:val="both"/>
        <w:outlineLvl w:val="2"/>
        <w:rPr>
          <w:highlight w:val="none"/>
        </w:rPr>
      </w:pPr>
      <w:r>
        <w:rPr>
          <w:rFonts w:hint="eastAsia"/>
          <w:b/>
          <w:sz w:val="28"/>
          <w:highlight w:val="none"/>
          <w:lang w:eastAsia="zh-CN"/>
        </w:rPr>
        <w:t>五</w:t>
      </w:r>
      <w:r>
        <w:rPr>
          <w:b/>
          <w:sz w:val="28"/>
          <w:highlight w:val="none"/>
        </w:rPr>
        <w:t>、其他事项</w:t>
      </w:r>
    </w:p>
    <w:p w14:paraId="30ECCB4A">
      <w:pPr>
        <w:pStyle w:val="15"/>
        <w:ind w:firstLine="480"/>
        <w:jc w:val="left"/>
        <w:rPr>
          <w:highlight w:val="none"/>
        </w:rPr>
      </w:pPr>
    </w:p>
    <w:p w14:paraId="10706867">
      <w:pPr>
        <w:pStyle w:val="15"/>
        <w:jc w:val="left"/>
        <w:rPr>
          <w:highlight w:val="none"/>
        </w:rPr>
      </w:pPr>
      <w:r>
        <w:rPr>
          <w:rFonts w:hint="eastAsia"/>
          <w:highlight w:val="none"/>
          <w:lang w:val="en-US" w:eastAsia="zh-CN"/>
        </w:rPr>
        <w:t>1</w:t>
      </w:r>
      <w:r>
        <w:rPr>
          <w:highlight w:val="none"/>
        </w:rPr>
        <w:t xml:space="preserve">、在协商过程中，若协商小组未增加采购需求，则合格供应商每个品目的最终报价不得高于首次报价，否则其最终报价视为无效。 </w:t>
      </w:r>
    </w:p>
    <w:p w14:paraId="3F19BB18">
      <w:pPr>
        <w:pStyle w:val="15"/>
        <w:jc w:val="left"/>
        <w:rPr>
          <w:highlight w:val="none"/>
        </w:rPr>
      </w:pPr>
      <w:r>
        <w:rPr>
          <w:rFonts w:hint="eastAsia"/>
          <w:highlight w:val="none"/>
          <w:lang w:val="en-US" w:eastAsia="zh-CN"/>
        </w:rPr>
        <w:t>2</w:t>
      </w:r>
      <w:r>
        <w:rPr>
          <w:highlight w:val="none"/>
        </w:rPr>
        <w:t>、质疑函的格式应当参照财政部官方网站提供的质疑函范本（http://gks.mof.gov.cn/ztztz/zhengfucaigouguanli/201802/t20180201_2804589.htm），针对同一采购程序环节的质疑应当在法定质疑期内一次性提出，并附上供应商在</w:t>
      </w:r>
      <w:r>
        <w:rPr>
          <w:rFonts w:hint="eastAsia"/>
          <w:highlight w:val="none"/>
          <w:lang w:eastAsia="zh-CN"/>
        </w:rPr>
        <w:t>中国</w:t>
      </w:r>
      <w:r>
        <w:rPr>
          <w:highlight w:val="none"/>
        </w:rPr>
        <w:t>政府采购网已依法获取采购文件的截图，否则泉州市政府采购中心将不予受理。</w:t>
      </w:r>
    </w:p>
    <w:p w14:paraId="3F05CBF4">
      <w:pPr>
        <w:pStyle w:val="15"/>
        <w:jc w:val="left"/>
        <w:rPr>
          <w:highlight w:val="none"/>
        </w:rPr>
      </w:pPr>
    </w:p>
    <w:p w14:paraId="272AE3CD">
      <w:pPr>
        <w:pStyle w:val="15"/>
        <w:jc w:val="both"/>
        <w:rPr>
          <w:highlight w:val="none"/>
        </w:rPr>
      </w:pPr>
    </w:p>
    <w:p w14:paraId="11262130">
      <w:pPr>
        <w:pStyle w:val="15"/>
        <w:jc w:val="both"/>
        <w:rPr>
          <w:highlight w:val="none"/>
        </w:rPr>
      </w:pPr>
      <w:r>
        <w:rPr>
          <w:b/>
          <w:highlight w:val="none"/>
        </w:rPr>
        <w:t xml:space="preserve"> </w:t>
      </w:r>
    </w:p>
    <w:p w14:paraId="5A61D8A4">
      <w:pPr>
        <w:rPr>
          <w:b/>
          <w:sz w:val="36"/>
          <w:highlight w:val="none"/>
        </w:rPr>
      </w:pPr>
      <w:r>
        <w:rPr>
          <w:b/>
          <w:sz w:val="36"/>
          <w:highlight w:val="none"/>
        </w:rPr>
        <w:br w:type="page"/>
      </w:r>
    </w:p>
    <w:p w14:paraId="457B1F94">
      <w:pPr>
        <w:pStyle w:val="15"/>
        <w:jc w:val="center"/>
        <w:outlineLvl w:val="1"/>
        <w:rPr>
          <w:highlight w:val="none"/>
        </w:rPr>
      </w:pPr>
      <w:r>
        <w:rPr>
          <w:b/>
          <w:sz w:val="36"/>
          <w:highlight w:val="none"/>
        </w:rPr>
        <w:t>第五章  采购合同</w:t>
      </w:r>
    </w:p>
    <w:p w14:paraId="7A8F7267">
      <w:pPr>
        <w:pStyle w:val="15"/>
        <w:jc w:val="center"/>
        <w:outlineLvl w:val="2"/>
        <w:rPr>
          <w:highlight w:val="none"/>
        </w:rPr>
      </w:pPr>
      <w:r>
        <w:rPr>
          <w:b/>
          <w:sz w:val="28"/>
          <w:highlight w:val="none"/>
        </w:rPr>
        <w:t>参考文本</w:t>
      </w:r>
    </w:p>
    <w:p w14:paraId="60ACE507">
      <w:pPr>
        <w:pStyle w:val="15"/>
        <w:jc w:val="left"/>
        <w:rPr>
          <w:highlight w:val="none"/>
        </w:rPr>
      </w:pPr>
      <w:r>
        <w:rPr>
          <w:b/>
          <w:highlight w:val="none"/>
        </w:rPr>
        <w:t>合同编号：</w:t>
      </w:r>
    </w:p>
    <w:p w14:paraId="52E373F4">
      <w:pPr>
        <w:pStyle w:val="15"/>
        <w:jc w:val="center"/>
        <w:outlineLvl w:val="1"/>
        <w:rPr>
          <w:highlight w:val="none"/>
        </w:rPr>
      </w:pPr>
      <w:r>
        <w:rPr>
          <w:b/>
          <w:sz w:val="36"/>
          <w:highlight w:val="none"/>
        </w:rPr>
        <w:t>采购合同（服务类）</w:t>
      </w:r>
    </w:p>
    <w:p w14:paraId="67E8EB55">
      <w:pPr>
        <w:pStyle w:val="15"/>
        <w:jc w:val="center"/>
        <w:outlineLvl w:val="3"/>
        <w:rPr>
          <w:highlight w:val="none"/>
        </w:rPr>
      </w:pPr>
      <w:r>
        <w:rPr>
          <w:b/>
          <w:sz w:val="24"/>
          <w:highlight w:val="none"/>
        </w:rPr>
        <w:t>编制说明</w:t>
      </w:r>
      <w:r>
        <w:rPr>
          <w:highlight w:val="none"/>
        </w:rPr>
        <w:br w:type="textWrapping"/>
      </w:r>
    </w:p>
    <w:p w14:paraId="1E8C2DBB">
      <w:pPr>
        <w:pStyle w:val="15"/>
        <w:jc w:val="left"/>
        <w:outlineLvl w:val="3"/>
        <w:rPr>
          <w:highlight w:val="none"/>
        </w:rPr>
      </w:pPr>
      <w:r>
        <w:rPr>
          <w:b/>
          <w:sz w:val="24"/>
          <w:highlight w:val="none"/>
        </w:rPr>
        <w:t>1.签订合同应遵守《中华人民共和国政府采购法》及其实施条例、《中华人民共和国民法典》等法律法规及其他有关规定。</w:t>
      </w:r>
    </w:p>
    <w:p w14:paraId="5C998437">
      <w:pPr>
        <w:pStyle w:val="15"/>
        <w:jc w:val="left"/>
        <w:outlineLvl w:val="3"/>
        <w:rPr>
          <w:highlight w:val="none"/>
        </w:rPr>
      </w:pPr>
      <w:r>
        <w:rPr>
          <w:b/>
          <w:sz w:val="24"/>
          <w:highlight w:val="none"/>
        </w:rPr>
        <w:t>2.签订合同时，采购人与中标(成交)人应结合采购文件规定填列相应内容。采购文件已有约定的，双方均不得对约定进行变更或调整；采购文件未作规定的，双方可通过友好协商进行约定。</w:t>
      </w:r>
    </w:p>
    <w:p w14:paraId="63FDB607">
      <w:pPr>
        <w:pStyle w:val="15"/>
        <w:jc w:val="left"/>
        <w:outlineLvl w:val="3"/>
        <w:rPr>
          <w:highlight w:val="none"/>
        </w:rPr>
      </w:pPr>
      <w:r>
        <w:rPr>
          <w:b/>
          <w:sz w:val="24"/>
          <w:highlight w:val="none"/>
        </w:rPr>
        <w:t>3.政府有关主管部门对若干合同有规范文本的，可使用相应合同文本。</w:t>
      </w:r>
    </w:p>
    <w:p w14:paraId="1EC16AFF">
      <w:pPr>
        <w:pStyle w:val="15"/>
        <w:jc w:val="left"/>
        <w:outlineLvl w:val="3"/>
        <w:rPr>
          <w:highlight w:val="none"/>
        </w:rPr>
      </w:pPr>
      <w:r>
        <w:rPr>
          <w:b/>
          <w:sz w:val="24"/>
          <w:highlight w:val="none"/>
        </w:rPr>
        <w:t>4.本合同范本仅供参考，采购人应当根据采购项目的实际需求对合同条款进行修改、补充。</w:t>
      </w:r>
    </w:p>
    <w:p w14:paraId="4097F4BD">
      <w:pPr>
        <w:pStyle w:val="15"/>
        <w:ind w:left="0"/>
        <w:jc w:val="left"/>
        <w:rPr>
          <w:highlight w:val="none"/>
        </w:rPr>
      </w:pPr>
    </w:p>
    <w:p w14:paraId="53E7B8B3">
      <w:pPr>
        <w:pStyle w:val="15"/>
        <w:jc w:val="left"/>
        <w:rPr>
          <w:highlight w:val="none"/>
        </w:rPr>
      </w:pPr>
      <w:r>
        <w:rPr>
          <w:b/>
          <w:highlight w:val="none"/>
        </w:rPr>
        <w:t>甲方：</w:t>
      </w:r>
    </w:p>
    <w:p w14:paraId="3C7CAF3D">
      <w:pPr>
        <w:pStyle w:val="15"/>
        <w:jc w:val="left"/>
        <w:rPr>
          <w:highlight w:val="none"/>
        </w:rPr>
      </w:pPr>
      <w:r>
        <w:rPr>
          <w:b/>
          <w:highlight w:val="none"/>
        </w:rPr>
        <w:t>住所地：________________</w:t>
      </w:r>
    </w:p>
    <w:p w14:paraId="662224FE">
      <w:pPr>
        <w:pStyle w:val="15"/>
        <w:jc w:val="left"/>
        <w:rPr>
          <w:highlight w:val="none"/>
        </w:rPr>
      </w:pPr>
      <w:r>
        <w:rPr>
          <w:b/>
          <w:highlight w:val="none"/>
        </w:rPr>
        <w:t>联系人：________________</w:t>
      </w:r>
    </w:p>
    <w:p w14:paraId="4330A087">
      <w:pPr>
        <w:pStyle w:val="15"/>
        <w:jc w:val="left"/>
        <w:rPr>
          <w:highlight w:val="none"/>
        </w:rPr>
      </w:pPr>
      <w:r>
        <w:rPr>
          <w:b/>
          <w:highlight w:val="none"/>
        </w:rPr>
        <w:t>联系电话：______________</w:t>
      </w:r>
    </w:p>
    <w:p w14:paraId="1C515ED2">
      <w:pPr>
        <w:pStyle w:val="15"/>
        <w:jc w:val="left"/>
        <w:rPr>
          <w:highlight w:val="none"/>
        </w:rPr>
      </w:pPr>
      <w:r>
        <w:rPr>
          <w:b/>
          <w:highlight w:val="none"/>
        </w:rPr>
        <w:t>传真：________________</w:t>
      </w:r>
    </w:p>
    <w:p w14:paraId="0A3B5D5C">
      <w:pPr>
        <w:pStyle w:val="15"/>
        <w:jc w:val="left"/>
        <w:rPr>
          <w:highlight w:val="none"/>
        </w:rPr>
      </w:pPr>
      <w:r>
        <w:rPr>
          <w:b/>
          <w:highlight w:val="none"/>
        </w:rPr>
        <w:t>电子邮箱：________________</w:t>
      </w:r>
      <w:r>
        <w:rPr>
          <w:highlight w:val="none"/>
        </w:rPr>
        <w:br w:type="textWrapping"/>
      </w:r>
    </w:p>
    <w:p w14:paraId="15D83C70">
      <w:pPr>
        <w:pStyle w:val="15"/>
        <w:ind w:left="0"/>
        <w:jc w:val="left"/>
        <w:rPr>
          <w:highlight w:val="none"/>
        </w:rPr>
      </w:pPr>
    </w:p>
    <w:p w14:paraId="172F0C7B">
      <w:pPr>
        <w:pStyle w:val="15"/>
        <w:jc w:val="left"/>
        <w:rPr>
          <w:highlight w:val="none"/>
        </w:rPr>
      </w:pPr>
      <w:r>
        <w:rPr>
          <w:b/>
          <w:highlight w:val="none"/>
        </w:rPr>
        <w:t>乙方：________________</w:t>
      </w:r>
    </w:p>
    <w:p w14:paraId="1EF7C4B2">
      <w:pPr>
        <w:pStyle w:val="15"/>
        <w:jc w:val="left"/>
        <w:rPr>
          <w:highlight w:val="none"/>
        </w:rPr>
      </w:pPr>
      <w:r>
        <w:rPr>
          <w:b/>
          <w:highlight w:val="none"/>
        </w:rPr>
        <w:t>住所地：________________</w:t>
      </w:r>
    </w:p>
    <w:p w14:paraId="2348AD4A">
      <w:pPr>
        <w:pStyle w:val="15"/>
        <w:jc w:val="left"/>
        <w:rPr>
          <w:highlight w:val="none"/>
        </w:rPr>
      </w:pPr>
      <w:r>
        <w:rPr>
          <w:b/>
          <w:highlight w:val="none"/>
        </w:rPr>
        <w:t>联系人：______________</w:t>
      </w:r>
    </w:p>
    <w:p w14:paraId="7606AA19">
      <w:pPr>
        <w:pStyle w:val="15"/>
        <w:jc w:val="left"/>
        <w:rPr>
          <w:highlight w:val="none"/>
        </w:rPr>
      </w:pPr>
      <w:r>
        <w:rPr>
          <w:b/>
          <w:highlight w:val="none"/>
        </w:rPr>
        <w:t>联系电话：______________</w:t>
      </w:r>
    </w:p>
    <w:p w14:paraId="44788418">
      <w:pPr>
        <w:pStyle w:val="15"/>
        <w:jc w:val="left"/>
        <w:rPr>
          <w:highlight w:val="none"/>
        </w:rPr>
      </w:pPr>
      <w:r>
        <w:rPr>
          <w:b/>
          <w:highlight w:val="none"/>
        </w:rPr>
        <w:t>传真：________________</w:t>
      </w:r>
    </w:p>
    <w:p w14:paraId="27B52236">
      <w:pPr>
        <w:pStyle w:val="15"/>
        <w:jc w:val="left"/>
        <w:rPr>
          <w:highlight w:val="none"/>
        </w:rPr>
      </w:pPr>
      <w:r>
        <w:rPr>
          <w:b/>
          <w:highlight w:val="none"/>
        </w:rPr>
        <w:t>电子邮箱：________________</w:t>
      </w:r>
    </w:p>
    <w:p w14:paraId="296C2366">
      <w:pPr>
        <w:pStyle w:val="15"/>
        <w:jc w:val="left"/>
        <w:rPr>
          <w:highlight w:val="none"/>
        </w:rPr>
      </w:pPr>
      <w:r>
        <w:rPr>
          <w:b/>
          <w:highlight w:val="none"/>
        </w:rPr>
        <w:t>根据项目编号为___________的__________项目（以下简称：“本项目”）的采购结果，遵循平等、自愿、公平和诚实信用的原则，双方签署本合同，具体内容如下：</w:t>
      </w:r>
    </w:p>
    <w:p w14:paraId="6EAF53BC">
      <w:pPr>
        <w:pStyle w:val="15"/>
        <w:jc w:val="left"/>
        <w:outlineLvl w:val="3"/>
        <w:rPr>
          <w:highlight w:val="none"/>
        </w:rPr>
      </w:pPr>
      <w:r>
        <w:rPr>
          <w:b/>
          <w:sz w:val="24"/>
          <w:highlight w:val="none"/>
        </w:rPr>
        <w:t>一、合同组成部分</w:t>
      </w:r>
    </w:p>
    <w:p w14:paraId="174A77AC">
      <w:pPr>
        <w:pStyle w:val="15"/>
        <w:jc w:val="left"/>
        <w:rPr>
          <w:highlight w:val="none"/>
        </w:rPr>
      </w:pPr>
      <w:r>
        <w:rPr>
          <w:b/>
          <w:highlight w:val="none"/>
        </w:rPr>
        <w:t>1.1本合同条款及附件；</w:t>
      </w:r>
    </w:p>
    <w:p w14:paraId="3345F77C">
      <w:pPr>
        <w:pStyle w:val="15"/>
        <w:jc w:val="left"/>
        <w:rPr>
          <w:highlight w:val="none"/>
        </w:rPr>
      </w:pPr>
      <w:r>
        <w:rPr>
          <w:b/>
          <w:highlight w:val="none"/>
        </w:rPr>
        <w:t>1.2采购文件及其附件、补充文件；</w:t>
      </w:r>
    </w:p>
    <w:p w14:paraId="01AF5619">
      <w:pPr>
        <w:pStyle w:val="15"/>
        <w:jc w:val="left"/>
        <w:rPr>
          <w:highlight w:val="none"/>
        </w:rPr>
      </w:pPr>
      <w:r>
        <w:rPr>
          <w:b/>
          <w:highlight w:val="none"/>
        </w:rPr>
        <w:t>1.3乙方的响应文件及其附件、补充文件；</w:t>
      </w:r>
    </w:p>
    <w:p w14:paraId="2E15C49B">
      <w:pPr>
        <w:pStyle w:val="15"/>
        <w:jc w:val="left"/>
        <w:rPr>
          <w:highlight w:val="none"/>
        </w:rPr>
      </w:pPr>
      <w:r>
        <w:rPr>
          <w:b/>
          <w:highlight w:val="none"/>
        </w:rPr>
        <w:t>1.4其他文件或材料：</w:t>
      </w:r>
    </w:p>
    <w:p w14:paraId="264D1091">
      <w:pPr>
        <w:pStyle w:val="15"/>
        <w:jc w:val="left"/>
        <w:outlineLvl w:val="3"/>
        <w:rPr>
          <w:highlight w:val="none"/>
        </w:rPr>
      </w:pPr>
      <w:r>
        <w:rPr>
          <w:b/>
          <w:sz w:val="24"/>
          <w:highlight w:val="none"/>
        </w:rPr>
        <w:t>二、合同标的</w:t>
      </w:r>
      <w:r>
        <w:rPr>
          <w:highlight w:val="none"/>
        </w:rPr>
        <w:br w:type="textWrapping"/>
      </w:r>
    </w:p>
    <w:p w14:paraId="0A1231E6">
      <w:pPr>
        <w:pStyle w:val="15"/>
        <w:jc w:val="left"/>
        <w:outlineLvl w:val="3"/>
        <w:rPr>
          <w:highlight w:val="none"/>
        </w:rPr>
      </w:pPr>
      <w:r>
        <w:rPr>
          <w:b/>
          <w:sz w:val="24"/>
          <w:highlight w:val="none"/>
        </w:rPr>
        <w:t>三、价格形式及合同价款</w:t>
      </w:r>
    </w:p>
    <w:p w14:paraId="7F54301B">
      <w:pPr>
        <w:pStyle w:val="15"/>
        <w:jc w:val="left"/>
        <w:outlineLvl w:val="4"/>
        <w:rPr>
          <w:highlight w:val="none"/>
        </w:rPr>
      </w:pPr>
      <w:r>
        <w:rPr>
          <w:b/>
          <w:sz w:val="20"/>
          <w:highlight w:val="none"/>
        </w:rPr>
        <w:t>3.1价格形式</w:t>
      </w:r>
    </w:p>
    <w:p w14:paraId="737697C6">
      <w:pPr>
        <w:pStyle w:val="15"/>
        <w:jc w:val="left"/>
        <w:rPr>
          <w:highlight w:val="none"/>
        </w:rPr>
      </w:pPr>
    </w:p>
    <w:p w14:paraId="72A08802">
      <w:pPr>
        <w:pStyle w:val="15"/>
        <w:spacing w:line="300" w:lineRule="auto"/>
        <w:jc w:val="left"/>
        <w:rPr>
          <w:highlight w:val="none"/>
        </w:rPr>
      </w:pPr>
      <w:r>
        <w:rPr>
          <w:b/>
          <w:highlight w:val="none"/>
        </w:rPr>
        <w:t>固定单价合同。完成约定服务事项的含税合同单价为：人民币（大写）元（￥_____________元）。</w:t>
      </w:r>
    </w:p>
    <w:p w14:paraId="5DE375C9">
      <w:pPr>
        <w:pStyle w:val="15"/>
        <w:spacing w:line="300" w:lineRule="auto"/>
        <w:jc w:val="left"/>
        <w:rPr>
          <w:highlight w:val="none"/>
        </w:rPr>
      </w:pPr>
      <w:r>
        <w:rPr>
          <w:b/>
          <w:highlight w:val="none"/>
        </w:rPr>
        <w:t>固定总价合同。完成约定服务事项的含税服务费用为：人民币（大写）元（￥_____________元）。</w:t>
      </w:r>
    </w:p>
    <w:p w14:paraId="6673EB66">
      <w:pPr>
        <w:pStyle w:val="15"/>
        <w:spacing w:line="300" w:lineRule="auto"/>
        <w:jc w:val="left"/>
        <w:rPr>
          <w:highlight w:val="none"/>
        </w:rPr>
      </w:pPr>
      <w:r>
        <w:rPr>
          <w:b/>
          <w:highlight w:val="none"/>
        </w:rPr>
        <w:t>其他方式。</w:t>
      </w:r>
    </w:p>
    <w:p w14:paraId="530A3FF8">
      <w:pPr>
        <w:pStyle w:val="15"/>
        <w:spacing w:line="300" w:lineRule="auto"/>
        <w:jc w:val="left"/>
        <w:rPr>
          <w:highlight w:val="none"/>
        </w:rPr>
      </w:pPr>
    </w:p>
    <w:p w14:paraId="36E3CD44">
      <w:pPr>
        <w:pStyle w:val="15"/>
        <w:jc w:val="left"/>
        <w:outlineLvl w:val="4"/>
        <w:rPr>
          <w:highlight w:val="none"/>
        </w:rPr>
      </w:pPr>
      <w:r>
        <w:rPr>
          <w:b/>
          <w:sz w:val="20"/>
          <w:highlight w:val="none"/>
        </w:rPr>
        <w:t>3.2合同价款包含范围</w:t>
      </w:r>
    </w:p>
    <w:p w14:paraId="6D3CAD46">
      <w:pPr>
        <w:pStyle w:val="15"/>
        <w:jc w:val="left"/>
        <w:outlineLvl w:val="4"/>
        <w:rPr>
          <w:highlight w:val="none"/>
        </w:rPr>
      </w:pPr>
      <w:r>
        <w:rPr>
          <w:b/>
          <w:sz w:val="20"/>
          <w:highlight w:val="none"/>
        </w:rPr>
        <w:t>3.3其他需说明的事项：</w:t>
      </w:r>
    </w:p>
    <w:p w14:paraId="6110138A">
      <w:pPr>
        <w:pStyle w:val="15"/>
        <w:jc w:val="left"/>
        <w:outlineLvl w:val="3"/>
        <w:rPr>
          <w:highlight w:val="none"/>
        </w:rPr>
      </w:pPr>
      <w:r>
        <w:rPr>
          <w:b/>
          <w:sz w:val="24"/>
          <w:highlight w:val="none"/>
        </w:rPr>
        <w:t>四、合同标的及服务范围、地点和时间</w:t>
      </w:r>
    </w:p>
    <w:p w14:paraId="36D30799">
      <w:pPr>
        <w:pStyle w:val="15"/>
        <w:jc w:val="left"/>
        <w:rPr>
          <w:highlight w:val="none"/>
        </w:rPr>
      </w:pPr>
      <w:r>
        <w:rPr>
          <w:b/>
          <w:highlight w:val="none"/>
        </w:rPr>
        <w:t>4.1项目名称：_____________</w:t>
      </w:r>
    </w:p>
    <w:p w14:paraId="1569B01F">
      <w:pPr>
        <w:pStyle w:val="15"/>
        <w:jc w:val="left"/>
        <w:rPr>
          <w:highlight w:val="none"/>
        </w:rPr>
      </w:pPr>
      <w:r>
        <w:rPr>
          <w:b/>
          <w:highlight w:val="none"/>
        </w:rPr>
        <w:t>4.2服务范围：_____________</w:t>
      </w:r>
    </w:p>
    <w:p w14:paraId="4A4C570C">
      <w:pPr>
        <w:pStyle w:val="15"/>
        <w:jc w:val="left"/>
        <w:rPr>
          <w:highlight w:val="none"/>
        </w:rPr>
      </w:pPr>
      <w:r>
        <w:rPr>
          <w:b/>
          <w:highlight w:val="none"/>
        </w:rPr>
        <w:t>4.3服务地点：_____________</w:t>
      </w:r>
    </w:p>
    <w:p w14:paraId="4E03C46B">
      <w:pPr>
        <w:pStyle w:val="15"/>
        <w:jc w:val="left"/>
        <w:rPr>
          <w:highlight w:val="none"/>
        </w:rPr>
      </w:pPr>
      <w:r>
        <w:rPr>
          <w:b/>
          <w:highlight w:val="none"/>
        </w:rPr>
        <w:t>4.4服务完成时间：_____________</w:t>
      </w:r>
    </w:p>
    <w:p w14:paraId="302D0109">
      <w:pPr>
        <w:pStyle w:val="15"/>
        <w:jc w:val="left"/>
        <w:outlineLvl w:val="3"/>
        <w:rPr>
          <w:highlight w:val="none"/>
        </w:rPr>
      </w:pPr>
      <w:r>
        <w:rPr>
          <w:b/>
          <w:sz w:val="24"/>
          <w:highlight w:val="none"/>
        </w:rPr>
        <w:t>五、服务内容、质量标准和要求</w:t>
      </w:r>
    </w:p>
    <w:p w14:paraId="184A926F">
      <w:pPr>
        <w:pStyle w:val="15"/>
        <w:jc w:val="left"/>
        <w:rPr>
          <w:highlight w:val="none"/>
        </w:rPr>
      </w:pPr>
      <w:r>
        <w:rPr>
          <w:b/>
          <w:highlight w:val="none"/>
        </w:rPr>
        <w:t>5.1服务工作量的计量方式：_____________</w:t>
      </w:r>
    </w:p>
    <w:p w14:paraId="13FC4DA6">
      <w:pPr>
        <w:pStyle w:val="15"/>
        <w:jc w:val="left"/>
        <w:rPr>
          <w:highlight w:val="none"/>
        </w:rPr>
      </w:pPr>
      <w:r>
        <w:rPr>
          <w:b/>
          <w:highlight w:val="none"/>
        </w:rPr>
        <w:t>5.2服务内容：_____________</w:t>
      </w:r>
    </w:p>
    <w:p w14:paraId="160F4A5E">
      <w:pPr>
        <w:pStyle w:val="15"/>
        <w:jc w:val="left"/>
        <w:rPr>
          <w:highlight w:val="none"/>
        </w:rPr>
      </w:pPr>
      <w:r>
        <w:rPr>
          <w:b/>
          <w:highlight w:val="none"/>
        </w:rPr>
        <w:t>5.3技术保障、服务人员组成、所涉及的货物的质量标准：</w:t>
      </w:r>
    </w:p>
    <w:p w14:paraId="576A3DFF">
      <w:pPr>
        <w:pStyle w:val="15"/>
        <w:jc w:val="left"/>
        <w:rPr>
          <w:highlight w:val="none"/>
        </w:rPr>
      </w:pPr>
      <w:r>
        <w:rPr>
          <w:b/>
          <w:highlight w:val="none"/>
        </w:rPr>
        <w:t>（1）服务技术保障：_____________</w:t>
      </w:r>
    </w:p>
    <w:p w14:paraId="2733D7F0">
      <w:pPr>
        <w:pStyle w:val="15"/>
        <w:jc w:val="left"/>
        <w:rPr>
          <w:highlight w:val="none"/>
        </w:rPr>
      </w:pPr>
      <w:r>
        <w:rPr>
          <w:b/>
          <w:highlight w:val="none"/>
        </w:rPr>
        <w:t>（2）服务人员组成：_____________</w:t>
      </w:r>
    </w:p>
    <w:p w14:paraId="69CE3F63">
      <w:pPr>
        <w:pStyle w:val="15"/>
        <w:jc w:val="left"/>
        <w:rPr>
          <w:highlight w:val="none"/>
        </w:rPr>
      </w:pPr>
      <w:r>
        <w:rPr>
          <w:b/>
          <w:highlight w:val="none"/>
        </w:rPr>
        <w:t>（3）服务设备及物资投入及质量标准：_____________</w:t>
      </w:r>
    </w:p>
    <w:p w14:paraId="4C79ADB7">
      <w:pPr>
        <w:pStyle w:val="15"/>
        <w:jc w:val="left"/>
        <w:rPr>
          <w:highlight w:val="none"/>
        </w:rPr>
      </w:pPr>
      <w:r>
        <w:rPr>
          <w:b/>
          <w:highlight w:val="none"/>
        </w:rPr>
        <w:t>5.4服务质量标准及要求：</w:t>
      </w:r>
    </w:p>
    <w:p w14:paraId="5070672D">
      <w:pPr>
        <w:pStyle w:val="15"/>
        <w:jc w:val="left"/>
        <w:rPr>
          <w:highlight w:val="none"/>
        </w:rPr>
      </w:pPr>
      <w:r>
        <w:rPr>
          <w:b/>
          <w:highlight w:val="none"/>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632F019F">
      <w:pPr>
        <w:pStyle w:val="15"/>
        <w:jc w:val="left"/>
        <w:rPr>
          <w:highlight w:val="none"/>
        </w:rPr>
      </w:pPr>
      <w:r>
        <w:rPr>
          <w:b/>
          <w:highlight w:val="none"/>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490575A7">
      <w:pPr>
        <w:pStyle w:val="15"/>
        <w:jc w:val="left"/>
        <w:rPr>
          <w:highlight w:val="none"/>
        </w:rPr>
      </w:pPr>
      <w:r>
        <w:rPr>
          <w:b/>
          <w:highlight w:val="none"/>
        </w:rPr>
        <w:t>5.4.3其他要求：</w:t>
      </w:r>
    </w:p>
    <w:p w14:paraId="4A4580C9">
      <w:pPr>
        <w:pStyle w:val="15"/>
        <w:jc w:val="left"/>
        <w:outlineLvl w:val="3"/>
        <w:rPr>
          <w:highlight w:val="none"/>
        </w:rPr>
      </w:pPr>
      <w:r>
        <w:rPr>
          <w:b/>
          <w:sz w:val="24"/>
          <w:highlight w:val="none"/>
        </w:rPr>
        <w:t>六、服务履约验收或考核</w:t>
      </w:r>
    </w:p>
    <w:p w14:paraId="0FC9E471">
      <w:pPr>
        <w:pStyle w:val="15"/>
        <w:jc w:val="left"/>
        <w:rPr>
          <w:highlight w:val="none"/>
        </w:rPr>
      </w:pPr>
      <w:r>
        <w:rPr>
          <w:b/>
          <w:highlight w:val="none"/>
        </w:rPr>
        <w:t>甲方按照采购文件、乙方的投标或响应文件和本协议约定的服务内容及质量要求按次组织对乙方所提供服务进行验收，或定期进行服务考核，并根据验收或考核结果支付服务费用。具体如下：</w:t>
      </w:r>
    </w:p>
    <w:p w14:paraId="05101828">
      <w:pPr>
        <w:pStyle w:val="15"/>
        <w:jc w:val="left"/>
        <w:outlineLvl w:val="3"/>
        <w:rPr>
          <w:highlight w:val="none"/>
        </w:rPr>
      </w:pPr>
      <w:r>
        <w:rPr>
          <w:b/>
          <w:sz w:val="24"/>
          <w:highlight w:val="none"/>
        </w:rPr>
        <w:t>七、甲方的权利与义务</w:t>
      </w:r>
    </w:p>
    <w:p w14:paraId="6A04104A">
      <w:pPr>
        <w:pStyle w:val="15"/>
        <w:jc w:val="left"/>
        <w:rPr>
          <w:highlight w:val="none"/>
        </w:rPr>
      </w:pPr>
      <w:r>
        <w:rPr>
          <w:b/>
          <w:highlight w:val="none"/>
        </w:rPr>
        <w:t>7.1甲方委派___________为联系人，联系方式___________，负责与乙方联系。如甲方联系人发生变更，甲方应书面告知乙方。</w:t>
      </w:r>
    </w:p>
    <w:p w14:paraId="68E9C126">
      <w:pPr>
        <w:pStyle w:val="15"/>
        <w:jc w:val="left"/>
        <w:rPr>
          <w:highlight w:val="none"/>
        </w:rPr>
      </w:pPr>
      <w:r>
        <w:rPr>
          <w:b/>
          <w:highlight w:val="none"/>
        </w:rPr>
        <w:t>7.2甲方应为乙方开展服务工作提供必要的工作条件，以及对内对外沟通和配合协助。</w:t>
      </w:r>
    </w:p>
    <w:p w14:paraId="2F53A105">
      <w:pPr>
        <w:pStyle w:val="15"/>
        <w:jc w:val="left"/>
        <w:rPr>
          <w:highlight w:val="none"/>
        </w:rPr>
      </w:pPr>
      <w:r>
        <w:rPr>
          <w:b/>
          <w:highlight w:val="none"/>
        </w:rPr>
        <w:t>7.3甲方应于___________之前提供服务所需的全部资料，并对所提供材料真实性、完整性、合法性负责。</w:t>
      </w:r>
    </w:p>
    <w:p w14:paraId="0B299224">
      <w:pPr>
        <w:pStyle w:val="15"/>
        <w:jc w:val="left"/>
        <w:rPr>
          <w:highlight w:val="none"/>
        </w:rPr>
      </w:pPr>
      <w:r>
        <w:rPr>
          <w:b/>
          <w:highlight w:val="none"/>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2E57FDB6">
      <w:pPr>
        <w:pStyle w:val="15"/>
        <w:jc w:val="left"/>
        <w:rPr>
          <w:highlight w:val="none"/>
        </w:rPr>
      </w:pPr>
      <w:r>
        <w:rPr>
          <w:b/>
          <w:highlight w:val="none"/>
        </w:rPr>
        <w:t>7.5甲方应按本合同约定及时足额支付服务费用及相关费用。</w:t>
      </w:r>
    </w:p>
    <w:p w14:paraId="644F8954">
      <w:pPr>
        <w:pStyle w:val="15"/>
        <w:jc w:val="left"/>
        <w:rPr>
          <w:highlight w:val="none"/>
        </w:rPr>
      </w:pPr>
      <w:r>
        <w:rPr>
          <w:b/>
          <w:highlight w:val="none"/>
        </w:rPr>
        <w:t>7.6其他</w:t>
      </w:r>
    </w:p>
    <w:p w14:paraId="486629F4">
      <w:pPr>
        <w:pStyle w:val="15"/>
        <w:jc w:val="left"/>
        <w:outlineLvl w:val="3"/>
        <w:rPr>
          <w:highlight w:val="none"/>
        </w:rPr>
      </w:pPr>
      <w:r>
        <w:rPr>
          <w:b/>
          <w:sz w:val="24"/>
          <w:highlight w:val="none"/>
        </w:rPr>
        <w:t>八、乙方的权利与义务</w:t>
      </w:r>
    </w:p>
    <w:p w14:paraId="7C006E22">
      <w:pPr>
        <w:pStyle w:val="15"/>
        <w:jc w:val="left"/>
        <w:rPr>
          <w:highlight w:val="none"/>
        </w:rPr>
      </w:pPr>
      <w:r>
        <w:rPr>
          <w:b/>
          <w:highlight w:val="none"/>
        </w:rPr>
        <w:t>8.1乙方委派___________为联系人，联系方式___________，负责与甲方联系。如乙方联系人发生变更，乙方应书面告知甲方</w:t>
      </w:r>
    </w:p>
    <w:p w14:paraId="06C2B67E">
      <w:pPr>
        <w:pStyle w:val="15"/>
        <w:jc w:val="left"/>
        <w:rPr>
          <w:highlight w:val="none"/>
        </w:rPr>
      </w:pPr>
      <w:r>
        <w:rPr>
          <w:b/>
          <w:highlight w:val="none"/>
        </w:rPr>
        <w:t>8.2乙方应国家法律法规和{{乙方的权利与义务-响应要求-福建}}等要求开展{{乙方的权利与义务-开展服务-福建}}服务；</w:t>
      </w:r>
    </w:p>
    <w:p w14:paraId="0DE0CA64">
      <w:pPr>
        <w:pStyle w:val="15"/>
        <w:jc w:val="left"/>
        <w:rPr>
          <w:highlight w:val="none"/>
        </w:rPr>
      </w:pPr>
      <w:r>
        <w:rPr>
          <w:b/>
          <w:highlight w:val="none"/>
        </w:rPr>
        <w:t>8.3乙方及其所委派服务人员应按标准或协议约定方式出具服务成果，对并其真实性和合法性负法律责任；</w:t>
      </w:r>
    </w:p>
    <w:p w14:paraId="268E271F">
      <w:pPr>
        <w:pStyle w:val="15"/>
        <w:jc w:val="left"/>
        <w:rPr>
          <w:highlight w:val="none"/>
        </w:rPr>
      </w:pPr>
      <w:r>
        <w:rPr>
          <w:b/>
          <w:highlight w:val="none"/>
        </w:rPr>
        <w:t>8.4乙方对执行业务过程中知悉的国家秘密或甲方的商业秘密保密。除非国家法律法规及行业规范另有规定,或经甲方同意,乙方不得将其知悉的商业秘密和甲方提供的资料对外泄露。</w:t>
      </w:r>
    </w:p>
    <w:p w14:paraId="39D6FC99">
      <w:pPr>
        <w:pStyle w:val="15"/>
        <w:jc w:val="left"/>
        <w:rPr>
          <w:highlight w:val="none"/>
        </w:rPr>
      </w:pPr>
      <w:r>
        <w:rPr>
          <w:b/>
          <w:highlight w:val="none"/>
        </w:rPr>
        <w:t>8.5乙方对服务业务应当单独建档，保存完整的工作记录，并对服务过程使用和暂存甲方的文件、材料和财物应当妥善保管。</w:t>
      </w:r>
    </w:p>
    <w:p w14:paraId="2C97D33F">
      <w:pPr>
        <w:pStyle w:val="15"/>
        <w:jc w:val="left"/>
        <w:rPr>
          <w:highlight w:val="none"/>
        </w:rPr>
      </w:pPr>
      <w:r>
        <w:rPr>
          <w:b/>
          <w:highlight w:val="none"/>
        </w:rPr>
        <w:t>8.6服务工作结束后,乙方将根据情况对甲方服务相关的管理制度及其他事项等提出改进意见。</w:t>
      </w:r>
    </w:p>
    <w:p w14:paraId="7A86B124">
      <w:pPr>
        <w:pStyle w:val="15"/>
        <w:jc w:val="left"/>
        <w:rPr>
          <w:highlight w:val="none"/>
        </w:rPr>
      </w:pPr>
      <w:r>
        <w:rPr>
          <w:b/>
          <w:highlight w:val="none"/>
        </w:rPr>
        <w:t>8.7其他</w:t>
      </w:r>
    </w:p>
    <w:p w14:paraId="64304CB9">
      <w:pPr>
        <w:pStyle w:val="15"/>
        <w:jc w:val="left"/>
        <w:outlineLvl w:val="3"/>
        <w:rPr>
          <w:highlight w:val="none"/>
        </w:rPr>
      </w:pPr>
      <w:r>
        <w:rPr>
          <w:b/>
          <w:sz w:val="24"/>
          <w:highlight w:val="none"/>
        </w:rPr>
        <w:t>九、资金支付方式、时间和条件</w:t>
      </w:r>
      <w:r>
        <w:rPr>
          <w:highlight w:val="none"/>
        </w:rPr>
        <w:br w:type="textWrapping"/>
      </w:r>
    </w:p>
    <w:p w14:paraId="4EC22EA4">
      <w:pPr>
        <w:pStyle w:val="15"/>
        <w:jc w:val="left"/>
        <w:outlineLvl w:val="3"/>
        <w:rPr>
          <w:highlight w:val="none"/>
        </w:rPr>
      </w:pPr>
      <w:r>
        <w:rPr>
          <w:b/>
          <w:sz w:val="24"/>
          <w:highlight w:val="none"/>
        </w:rPr>
        <w:t>十、履约保证金</w:t>
      </w:r>
    </w:p>
    <w:p w14:paraId="082293B7">
      <w:pPr>
        <w:pStyle w:val="15"/>
        <w:jc w:val="left"/>
        <w:rPr>
          <w:highlight w:val="none"/>
        </w:rPr>
      </w:pPr>
      <w:r>
        <w:rPr>
          <w:b/>
          <w:highlight w:val="none"/>
        </w:rPr>
        <w:t>□有，□无。具体如下：（按照采购文件规定填写）。</w:t>
      </w:r>
    </w:p>
    <w:p w14:paraId="0F04CCB3">
      <w:pPr>
        <w:pStyle w:val="15"/>
        <w:jc w:val="left"/>
        <w:rPr>
          <w:highlight w:val="none"/>
        </w:rPr>
      </w:pPr>
      <w:r>
        <w:rPr>
          <w:b/>
          <w:highlight w:val="none"/>
        </w:rPr>
        <w:t>10.1乙方向甲方缴纳人民币 / 元作为本合同的履约保证金。</w:t>
      </w:r>
    </w:p>
    <w:p w14:paraId="05AA78E1">
      <w:pPr>
        <w:pStyle w:val="15"/>
        <w:jc w:val="left"/>
        <w:rPr>
          <w:highlight w:val="none"/>
        </w:rPr>
      </w:pPr>
      <w:r>
        <w:rPr>
          <w:b/>
          <w:highlight w:val="none"/>
        </w:rPr>
        <w:t>10.2履约保证金缴纳形式：支票/汇票/电汇/保函等非现金形式。</w:t>
      </w:r>
    </w:p>
    <w:p w14:paraId="6AEA4B88">
      <w:pPr>
        <w:pStyle w:val="15"/>
        <w:jc w:val="left"/>
        <w:rPr>
          <w:highlight w:val="none"/>
        </w:rPr>
      </w:pPr>
      <w:r>
        <w:rPr>
          <w:b/>
          <w:highlight w:val="none"/>
        </w:rPr>
        <w:t>10.3履约保证金合同履行完毕前有效，合同履行完毕后一次性结清退还。</w:t>
      </w:r>
    </w:p>
    <w:p w14:paraId="0CE153EA">
      <w:pPr>
        <w:pStyle w:val="15"/>
        <w:jc w:val="left"/>
        <w:outlineLvl w:val="3"/>
        <w:rPr>
          <w:highlight w:val="none"/>
        </w:rPr>
      </w:pPr>
      <w:r>
        <w:rPr>
          <w:b/>
          <w:sz w:val="24"/>
          <w:highlight w:val="none"/>
        </w:rPr>
        <w:t>十一、合同期限</w:t>
      </w:r>
      <w:r>
        <w:rPr>
          <w:highlight w:val="none"/>
        </w:rPr>
        <w:br w:type="textWrapping"/>
      </w:r>
    </w:p>
    <w:p w14:paraId="28691FC7">
      <w:pPr>
        <w:pStyle w:val="15"/>
        <w:jc w:val="left"/>
        <w:outlineLvl w:val="3"/>
        <w:rPr>
          <w:highlight w:val="none"/>
        </w:rPr>
      </w:pPr>
      <w:r>
        <w:rPr>
          <w:b/>
          <w:sz w:val="24"/>
          <w:highlight w:val="none"/>
        </w:rPr>
        <w:t>十二、保密条款</w:t>
      </w:r>
    </w:p>
    <w:p w14:paraId="1DF4AE2E">
      <w:pPr>
        <w:pStyle w:val="15"/>
        <w:jc w:val="left"/>
        <w:rPr>
          <w:highlight w:val="none"/>
        </w:rPr>
      </w:pPr>
      <w:r>
        <w:rPr>
          <w:b/>
          <w:highlight w:val="none"/>
        </w:rPr>
        <w:t>12.1对于在采购和合同履行过程中所获悉的属于保密的内容，甲、乙双方均负有保密义务。</w:t>
      </w:r>
    </w:p>
    <w:p w14:paraId="6AEFB365">
      <w:pPr>
        <w:pStyle w:val="15"/>
        <w:jc w:val="left"/>
        <w:rPr>
          <w:highlight w:val="none"/>
        </w:rPr>
      </w:pPr>
      <w:r>
        <w:rPr>
          <w:b/>
          <w:highlight w:val="none"/>
        </w:rPr>
        <w:t>12.2其他</w:t>
      </w:r>
    </w:p>
    <w:p w14:paraId="3C122EB7">
      <w:pPr>
        <w:pStyle w:val="15"/>
        <w:jc w:val="left"/>
        <w:outlineLvl w:val="3"/>
        <w:rPr>
          <w:highlight w:val="none"/>
        </w:rPr>
      </w:pPr>
      <w:r>
        <w:rPr>
          <w:b/>
          <w:sz w:val="24"/>
          <w:highlight w:val="none"/>
        </w:rPr>
        <w:t>十三、违约责任</w:t>
      </w:r>
    </w:p>
    <w:p w14:paraId="13DA6F81">
      <w:pPr>
        <w:pStyle w:val="15"/>
        <w:jc w:val="left"/>
        <w:rPr>
          <w:highlight w:val="none"/>
        </w:rPr>
      </w:pPr>
      <w:r>
        <w:rPr>
          <w:b/>
          <w:highlight w:val="none"/>
        </w:rPr>
        <w:t>13.1甲方违约责任</w:t>
      </w:r>
    </w:p>
    <w:p w14:paraId="42C3D18B">
      <w:pPr>
        <w:pStyle w:val="15"/>
        <w:jc w:val="left"/>
        <w:rPr>
          <w:highlight w:val="none"/>
        </w:rPr>
      </w:pPr>
      <w:r>
        <w:rPr>
          <w:b/>
          <w:highlight w:val="none"/>
        </w:rPr>
        <w:t>（1）甲方无正当理由拒绝乙方提供合格服务的，甲方应向乙方偿付所拒收合同总价________的违约金</w:t>
      </w:r>
    </w:p>
    <w:p w14:paraId="61D18DF4">
      <w:pPr>
        <w:pStyle w:val="15"/>
        <w:jc w:val="left"/>
        <w:rPr>
          <w:highlight w:val="none"/>
        </w:rPr>
      </w:pPr>
      <w:r>
        <w:rPr>
          <w:b/>
          <w:highlight w:val="none"/>
        </w:rPr>
        <w:t>（2）甲方无故逾期验收和办理合同款项支付手续的,甲方应按逾期付款总额每日________向乙方支付违约金。</w:t>
      </w:r>
    </w:p>
    <w:p w14:paraId="2CE57CCF">
      <w:pPr>
        <w:pStyle w:val="15"/>
        <w:jc w:val="left"/>
        <w:rPr>
          <w:highlight w:val="none"/>
        </w:rPr>
      </w:pPr>
      <w:r>
        <w:rPr>
          <w:b/>
          <w:highlight w:val="none"/>
        </w:rPr>
        <w:t>（3）其他违约情形</w:t>
      </w:r>
    </w:p>
    <w:p w14:paraId="7873292F">
      <w:pPr>
        <w:pStyle w:val="15"/>
        <w:jc w:val="left"/>
        <w:rPr>
          <w:highlight w:val="none"/>
        </w:rPr>
      </w:pPr>
      <w:r>
        <w:rPr>
          <w:b/>
          <w:highlight w:val="none"/>
        </w:rPr>
        <w:t>13.2乙方违约责任</w:t>
      </w:r>
    </w:p>
    <w:p w14:paraId="79D5086C">
      <w:pPr>
        <w:pStyle w:val="15"/>
        <w:jc w:val="left"/>
        <w:rPr>
          <w:highlight w:val="none"/>
        </w:rPr>
      </w:pPr>
      <w:r>
        <w:rPr>
          <w:b/>
          <w:highlight w:val="none"/>
        </w:rPr>
        <w:t>（1）乙方逾期履行服务的，乙方应按逾期交付总额每日________向甲方支付违约金，由甲方从待付货款中扣除。乙方无正当理由逾期超过约定日期________仍不能交付的，视为“乙方不按合同约定履约”；</w:t>
      </w:r>
    </w:p>
    <w:p w14:paraId="76CFC70E">
      <w:pPr>
        <w:pStyle w:val="15"/>
        <w:jc w:val="left"/>
        <w:rPr>
          <w:highlight w:val="none"/>
        </w:rPr>
      </w:pPr>
      <w:r>
        <w:rPr>
          <w:b/>
          <w:highlight w:val="none"/>
        </w:rPr>
        <w:t>（2）乙方所履行的服务不符合合同规定及《采购文件》规定标准的，甲方有权拒绝，乙方愿意整改但逾期履行的，按乙方逾期履行处理。乙方拒绝整改的，视为“乙方不按合同约定履约”</w:t>
      </w:r>
    </w:p>
    <w:p w14:paraId="0820FB18">
      <w:pPr>
        <w:pStyle w:val="15"/>
        <w:jc w:val="left"/>
        <w:rPr>
          <w:highlight w:val="none"/>
        </w:rPr>
      </w:pPr>
      <w:r>
        <w:rPr>
          <w:b/>
          <w:highlight w:val="none"/>
        </w:rPr>
        <w:t>（3）乙方不按合同约定履约的，甲方可以解除采购合同，并对乙方已缴纳的履约保证金作“不予退还”处理。同时，乙方须按以下约定向甲方支付违约金：</w:t>
      </w:r>
    </w:p>
    <w:p w14:paraId="53B20AC9">
      <w:pPr>
        <w:pStyle w:val="15"/>
        <w:jc w:val="left"/>
        <w:rPr>
          <w:highlight w:val="none"/>
        </w:rPr>
      </w:pPr>
      <w:r>
        <w:rPr>
          <w:b/>
          <w:highlight w:val="none"/>
        </w:rPr>
        <w:t>（4）其他违约情形</w:t>
      </w:r>
    </w:p>
    <w:p w14:paraId="62C81B2A">
      <w:pPr>
        <w:pStyle w:val="15"/>
        <w:jc w:val="left"/>
        <w:outlineLvl w:val="3"/>
        <w:rPr>
          <w:highlight w:val="none"/>
        </w:rPr>
      </w:pPr>
      <w:r>
        <w:rPr>
          <w:b/>
          <w:sz w:val="24"/>
          <w:highlight w:val="none"/>
        </w:rPr>
        <w:t>十四、不可抗力事件处理</w:t>
      </w:r>
    </w:p>
    <w:p w14:paraId="693945E1">
      <w:pPr>
        <w:pStyle w:val="15"/>
        <w:jc w:val="left"/>
        <w:rPr>
          <w:highlight w:val="none"/>
        </w:rPr>
      </w:pPr>
      <w:r>
        <w:rPr>
          <w:b/>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1DDFE867">
      <w:pPr>
        <w:pStyle w:val="15"/>
        <w:jc w:val="left"/>
        <w:outlineLvl w:val="3"/>
        <w:rPr>
          <w:highlight w:val="none"/>
        </w:rPr>
      </w:pPr>
      <w:r>
        <w:rPr>
          <w:b/>
          <w:sz w:val="24"/>
          <w:highlight w:val="none"/>
        </w:rPr>
        <w:t>十五、解决争议的方法</w:t>
      </w:r>
    </w:p>
    <w:p w14:paraId="060E27EF">
      <w:pPr>
        <w:pStyle w:val="15"/>
        <w:jc w:val="left"/>
        <w:rPr>
          <w:highlight w:val="none"/>
        </w:rPr>
      </w:pPr>
      <w:r>
        <w:rPr>
          <w:b/>
          <w:highlight w:val="none"/>
        </w:rPr>
        <w:t>15.1甲、乙双方协商解决。</w:t>
      </w:r>
    </w:p>
    <w:p w14:paraId="483454FF">
      <w:pPr>
        <w:pStyle w:val="15"/>
        <w:jc w:val="left"/>
        <w:rPr>
          <w:highlight w:val="none"/>
        </w:rPr>
      </w:pPr>
      <w:r>
        <w:rPr>
          <w:b/>
          <w:highlight w:val="none"/>
        </w:rPr>
        <w:t>15.2若协商解决不成，双方明确按以下第_种方式解决：</w:t>
      </w:r>
    </w:p>
    <w:p w14:paraId="1ACBDD28">
      <w:pPr>
        <w:pStyle w:val="15"/>
        <w:jc w:val="left"/>
        <w:rPr>
          <w:highlight w:val="none"/>
        </w:rPr>
      </w:pPr>
    </w:p>
    <w:p w14:paraId="2368F986">
      <w:pPr>
        <w:pStyle w:val="15"/>
        <w:spacing w:line="300" w:lineRule="auto"/>
        <w:jc w:val="left"/>
        <w:rPr>
          <w:highlight w:val="none"/>
        </w:rPr>
      </w:pPr>
      <w:r>
        <w:rPr>
          <w:b/>
          <w:highlight w:val="none"/>
        </w:rPr>
        <w:t>1、提交仲裁委员会仲裁，具体如下：</w:t>
      </w:r>
    </w:p>
    <w:p w14:paraId="463B3165">
      <w:pPr>
        <w:pStyle w:val="15"/>
        <w:spacing w:line="300" w:lineRule="auto"/>
        <w:jc w:val="left"/>
        <w:rPr>
          <w:highlight w:val="none"/>
        </w:rPr>
      </w:pPr>
      <w:r>
        <w:rPr>
          <w:b/>
          <w:highlight w:val="none"/>
        </w:rPr>
        <w:t>2、向人民法院提起诉讼。</w:t>
      </w:r>
    </w:p>
    <w:p w14:paraId="6AC686D1">
      <w:pPr>
        <w:pStyle w:val="15"/>
        <w:jc w:val="left"/>
        <w:outlineLvl w:val="3"/>
        <w:rPr>
          <w:highlight w:val="none"/>
        </w:rPr>
      </w:pPr>
      <w:r>
        <w:rPr>
          <w:b/>
          <w:sz w:val="24"/>
          <w:highlight w:val="none"/>
        </w:rPr>
        <w:t>十六、合同其他条款</w:t>
      </w:r>
      <w:r>
        <w:rPr>
          <w:highlight w:val="none"/>
        </w:rPr>
        <w:br w:type="textWrapping"/>
      </w:r>
    </w:p>
    <w:p w14:paraId="24A92D9B">
      <w:pPr>
        <w:pStyle w:val="15"/>
        <w:jc w:val="left"/>
        <w:outlineLvl w:val="3"/>
        <w:rPr>
          <w:highlight w:val="none"/>
        </w:rPr>
      </w:pPr>
      <w:r>
        <w:rPr>
          <w:b/>
          <w:sz w:val="24"/>
          <w:highlight w:val="none"/>
        </w:rPr>
        <w:t>十七、其他约定</w:t>
      </w:r>
    </w:p>
    <w:p w14:paraId="1D148C12">
      <w:pPr>
        <w:pStyle w:val="15"/>
        <w:jc w:val="left"/>
        <w:rPr>
          <w:highlight w:val="none"/>
        </w:rPr>
      </w:pPr>
      <w:r>
        <w:rPr>
          <w:b/>
          <w:highlight w:val="none"/>
        </w:rPr>
        <w:t>17.1合同文件与本合同具有同等法律效力。</w:t>
      </w:r>
    </w:p>
    <w:p w14:paraId="031BFB36">
      <w:pPr>
        <w:pStyle w:val="15"/>
        <w:jc w:val="left"/>
        <w:rPr>
          <w:highlight w:val="none"/>
        </w:rPr>
      </w:pPr>
      <w:r>
        <w:rPr>
          <w:b/>
          <w:highlight w:val="none"/>
        </w:rPr>
        <w:t>17.2合同生效：合同经双方法定代表人或委托代理人签字并加盖单位公章后生效。</w:t>
      </w:r>
    </w:p>
    <w:p w14:paraId="41C80BB2">
      <w:pPr>
        <w:pStyle w:val="15"/>
        <w:jc w:val="left"/>
        <w:rPr>
          <w:highlight w:val="none"/>
        </w:rPr>
      </w:pPr>
      <w:r>
        <w:rPr>
          <w:b/>
          <w:highlight w:val="none"/>
        </w:rPr>
        <w:t>17.3本合同未尽事宜，遵照《中华人民共和国民法典》有关条文执行。</w:t>
      </w:r>
    </w:p>
    <w:p w14:paraId="5F47CE38">
      <w:pPr>
        <w:pStyle w:val="15"/>
        <w:jc w:val="left"/>
        <w:rPr>
          <w:highlight w:val="none"/>
        </w:rPr>
      </w:pPr>
      <w:r>
        <w:rPr>
          <w:b/>
          <w:highlight w:val="none"/>
        </w:rPr>
        <w:t>17.4本合同正本一式_______份，具有同等法律效力，甲方、乙方各执_______份；副本_______份，_______</w:t>
      </w:r>
    </w:p>
    <w:p w14:paraId="29EF5621">
      <w:pPr>
        <w:pStyle w:val="15"/>
        <w:jc w:val="left"/>
        <w:rPr>
          <w:highlight w:val="none"/>
        </w:rPr>
      </w:pPr>
      <w:r>
        <w:rPr>
          <w:b/>
          <w:highlight w:val="none"/>
        </w:rPr>
        <w:t>17.</w:t>
      </w:r>
      <w:r>
        <w:rPr>
          <w:rFonts w:hint="eastAsia"/>
          <w:b/>
          <w:highlight w:val="none"/>
          <w:lang w:val="en-US" w:eastAsia="zh-CN"/>
        </w:rPr>
        <w:t>5</w:t>
      </w:r>
      <w:r>
        <w:rPr>
          <w:b/>
          <w:highlight w:val="none"/>
        </w:rPr>
        <w:t>其他</w:t>
      </w:r>
    </w:p>
    <w:p w14:paraId="4FA13E5A">
      <w:pPr>
        <w:pStyle w:val="15"/>
        <w:jc w:val="left"/>
        <w:outlineLvl w:val="3"/>
        <w:rPr>
          <w:highlight w:val="none"/>
        </w:rPr>
      </w:pPr>
      <w:r>
        <w:rPr>
          <w:b/>
          <w:sz w:val="24"/>
          <w:highlight w:val="none"/>
        </w:rPr>
        <w:t>十八、合同附件</w:t>
      </w:r>
      <w:r>
        <w:rPr>
          <w:highlight w:val="none"/>
        </w:rPr>
        <w:br w:type="textWrapping"/>
      </w:r>
    </w:p>
    <w:p w14:paraId="5BAA11B3">
      <w:pPr>
        <w:pStyle w:val="15"/>
        <w:jc w:val="left"/>
        <w:rPr>
          <w:highlight w:val="none"/>
        </w:rPr>
      </w:pPr>
    </w:p>
    <w:p w14:paraId="4FBEE40A">
      <w:pPr>
        <w:pStyle w:val="15"/>
        <w:jc w:val="left"/>
        <w:rPr>
          <w:highlight w:val="none"/>
        </w:rPr>
      </w:pPr>
    </w:p>
    <w:p w14:paraId="0EEB3656">
      <w:pPr>
        <w:pStyle w:val="15"/>
        <w:jc w:val="left"/>
        <w:rPr>
          <w:highlight w:val="none"/>
        </w:rPr>
      </w:pPr>
      <w:r>
        <w:rPr>
          <w:b/>
          <w:highlight w:val="none"/>
        </w:rPr>
        <w:t>甲方（采购人）：</w:t>
      </w:r>
    </w:p>
    <w:p w14:paraId="2B9C97FF">
      <w:pPr>
        <w:pStyle w:val="15"/>
        <w:jc w:val="left"/>
        <w:rPr>
          <w:highlight w:val="none"/>
        </w:rPr>
      </w:pPr>
      <w:r>
        <w:rPr>
          <w:b/>
          <w:highlight w:val="none"/>
        </w:rPr>
        <w:t>法定（授权）代表人：</w:t>
      </w:r>
    </w:p>
    <w:p w14:paraId="42E10134">
      <w:pPr>
        <w:pStyle w:val="15"/>
        <w:jc w:val="left"/>
        <w:rPr>
          <w:highlight w:val="none"/>
        </w:rPr>
      </w:pPr>
      <w:r>
        <w:rPr>
          <w:b/>
          <w:highlight w:val="none"/>
        </w:rPr>
        <w:t>纳税人识别号：</w:t>
      </w:r>
    </w:p>
    <w:p w14:paraId="08C70C0E">
      <w:pPr>
        <w:pStyle w:val="15"/>
        <w:jc w:val="left"/>
        <w:rPr>
          <w:highlight w:val="none"/>
        </w:rPr>
      </w:pPr>
      <w:r>
        <w:rPr>
          <w:b/>
          <w:highlight w:val="none"/>
        </w:rPr>
        <w:t>开户银行：</w:t>
      </w:r>
    </w:p>
    <w:p w14:paraId="6CD971D3">
      <w:pPr>
        <w:pStyle w:val="15"/>
        <w:jc w:val="left"/>
        <w:rPr>
          <w:highlight w:val="none"/>
        </w:rPr>
      </w:pPr>
      <w:r>
        <w:rPr>
          <w:b/>
          <w:highlight w:val="none"/>
        </w:rPr>
        <w:t>账号：</w:t>
      </w:r>
    </w:p>
    <w:p w14:paraId="3EB56D0B">
      <w:pPr>
        <w:pStyle w:val="15"/>
        <w:jc w:val="left"/>
        <w:rPr>
          <w:highlight w:val="none"/>
        </w:rPr>
      </w:pPr>
    </w:p>
    <w:p w14:paraId="499D9EC2">
      <w:pPr>
        <w:pStyle w:val="15"/>
        <w:spacing w:after="375"/>
        <w:jc w:val="left"/>
        <w:rPr>
          <w:highlight w:val="none"/>
        </w:rPr>
      </w:pPr>
    </w:p>
    <w:p w14:paraId="32C2CFB7">
      <w:pPr>
        <w:pStyle w:val="15"/>
        <w:jc w:val="left"/>
        <w:rPr>
          <w:highlight w:val="none"/>
        </w:rPr>
      </w:pPr>
      <w:r>
        <w:rPr>
          <w:b/>
          <w:highlight w:val="none"/>
        </w:rPr>
        <w:t>乙方（中标或成交人）：</w:t>
      </w:r>
    </w:p>
    <w:p w14:paraId="4B219FA0">
      <w:pPr>
        <w:pStyle w:val="15"/>
        <w:jc w:val="left"/>
        <w:rPr>
          <w:highlight w:val="none"/>
        </w:rPr>
      </w:pPr>
      <w:r>
        <w:rPr>
          <w:b/>
          <w:highlight w:val="none"/>
        </w:rPr>
        <w:t>法定（授权）代表人：</w:t>
      </w:r>
    </w:p>
    <w:p w14:paraId="49E97B87">
      <w:pPr>
        <w:pStyle w:val="15"/>
        <w:jc w:val="left"/>
        <w:rPr>
          <w:highlight w:val="none"/>
        </w:rPr>
      </w:pPr>
      <w:r>
        <w:rPr>
          <w:b/>
          <w:highlight w:val="none"/>
        </w:rPr>
        <w:t>纳税人识别号：</w:t>
      </w:r>
    </w:p>
    <w:p w14:paraId="1E901BF0">
      <w:pPr>
        <w:pStyle w:val="15"/>
        <w:jc w:val="left"/>
        <w:rPr>
          <w:highlight w:val="none"/>
        </w:rPr>
      </w:pPr>
      <w:r>
        <w:rPr>
          <w:b/>
          <w:highlight w:val="none"/>
        </w:rPr>
        <w:t>开户银行：</w:t>
      </w:r>
    </w:p>
    <w:p w14:paraId="5CB47A79">
      <w:pPr>
        <w:pStyle w:val="15"/>
        <w:jc w:val="left"/>
        <w:rPr>
          <w:highlight w:val="none"/>
        </w:rPr>
      </w:pPr>
      <w:r>
        <w:rPr>
          <w:b/>
          <w:highlight w:val="none"/>
        </w:rPr>
        <w:t>账号：</w:t>
      </w:r>
    </w:p>
    <w:p w14:paraId="55E40E95">
      <w:pPr>
        <w:pStyle w:val="15"/>
        <w:jc w:val="left"/>
        <w:rPr>
          <w:highlight w:val="none"/>
        </w:rPr>
      </w:pPr>
    </w:p>
    <w:p w14:paraId="40CA3C34">
      <w:pPr>
        <w:pStyle w:val="15"/>
        <w:jc w:val="left"/>
        <w:rPr>
          <w:highlight w:val="none"/>
        </w:rPr>
      </w:pPr>
      <w:r>
        <w:rPr>
          <w:b/>
          <w:highlight w:val="none"/>
        </w:rPr>
        <w:t>签订地点：_____________</w:t>
      </w:r>
    </w:p>
    <w:p w14:paraId="674758E2">
      <w:pPr>
        <w:pStyle w:val="15"/>
        <w:jc w:val="left"/>
        <w:rPr>
          <w:highlight w:val="none"/>
        </w:rPr>
      </w:pPr>
      <w:r>
        <w:rPr>
          <w:b/>
          <w:highlight w:val="none"/>
        </w:rPr>
        <w:t>签订日期：____年___月___日</w:t>
      </w:r>
    </w:p>
    <w:p w14:paraId="1D4B871A">
      <w:pPr>
        <w:pStyle w:val="15"/>
        <w:jc w:val="both"/>
        <w:rPr>
          <w:highlight w:val="none"/>
        </w:rPr>
      </w:pPr>
    </w:p>
    <w:p w14:paraId="3B8EC7EA">
      <w:pPr>
        <w:pStyle w:val="15"/>
        <w:jc w:val="both"/>
        <w:rPr>
          <w:highlight w:val="none"/>
        </w:rPr>
      </w:pPr>
      <w:r>
        <w:rPr>
          <w:b/>
          <w:highlight w:val="none"/>
        </w:rPr>
        <w:t xml:space="preserve"> </w:t>
      </w:r>
    </w:p>
    <w:p w14:paraId="2852DAEB">
      <w:pPr>
        <w:rPr>
          <w:b/>
          <w:sz w:val="36"/>
          <w:highlight w:val="none"/>
        </w:rPr>
      </w:pPr>
      <w:r>
        <w:rPr>
          <w:b/>
          <w:sz w:val="36"/>
          <w:highlight w:val="none"/>
        </w:rPr>
        <w:br w:type="page"/>
      </w:r>
    </w:p>
    <w:p w14:paraId="68341471">
      <w:pPr>
        <w:pStyle w:val="15"/>
        <w:jc w:val="center"/>
        <w:outlineLvl w:val="1"/>
        <w:rPr>
          <w:highlight w:val="none"/>
        </w:rPr>
      </w:pPr>
      <w:r>
        <w:rPr>
          <w:b/>
          <w:sz w:val="36"/>
          <w:highlight w:val="none"/>
        </w:rPr>
        <w:t>第六章  响应文件格式</w:t>
      </w:r>
    </w:p>
    <w:p w14:paraId="279089A7">
      <w:pPr>
        <w:pStyle w:val="15"/>
        <w:ind w:firstLine="480"/>
        <w:jc w:val="both"/>
        <w:rPr>
          <w:highlight w:val="none"/>
        </w:rPr>
      </w:pPr>
      <w:r>
        <w:rPr>
          <w:b/>
          <w:highlight w:val="none"/>
        </w:rPr>
        <w:t>注:本附件所有格式为响应文件的组成部分仅供制作响应文件时参考,供应商应根据行业特点,结合本次协商要求，对有关表格进行补充或修改,但不得减少响应文件的格式内容。</w:t>
      </w:r>
    </w:p>
    <w:p w14:paraId="37EF7A9F">
      <w:pPr>
        <w:pStyle w:val="15"/>
        <w:jc w:val="both"/>
        <w:rPr>
          <w:highlight w:val="none"/>
        </w:rPr>
      </w:pPr>
    </w:p>
    <w:p w14:paraId="2BDF60E0">
      <w:pPr>
        <w:pStyle w:val="15"/>
        <w:jc w:val="both"/>
        <w:rPr>
          <w:highlight w:val="none"/>
        </w:rPr>
      </w:pPr>
      <w:r>
        <w:rPr>
          <w:b/>
          <w:highlight w:val="none"/>
        </w:rPr>
        <w:t xml:space="preserve"> </w:t>
      </w:r>
    </w:p>
    <w:p w14:paraId="4E0598E4">
      <w:pPr>
        <w:pStyle w:val="15"/>
        <w:jc w:val="center"/>
        <w:outlineLvl w:val="2"/>
        <w:rPr>
          <w:highlight w:val="none"/>
        </w:rPr>
      </w:pPr>
      <w:r>
        <w:rPr>
          <w:b/>
          <w:sz w:val="28"/>
          <w:highlight w:val="none"/>
        </w:rPr>
        <w:t>封面格式</w:t>
      </w:r>
    </w:p>
    <w:p w14:paraId="482C7A91">
      <w:pPr>
        <w:pStyle w:val="15"/>
        <w:jc w:val="center"/>
        <w:outlineLvl w:val="0"/>
        <w:rPr>
          <w:highlight w:val="none"/>
        </w:rPr>
      </w:pPr>
      <w:r>
        <w:rPr>
          <w:b/>
          <w:sz w:val="48"/>
          <w:highlight w:val="none"/>
        </w:rPr>
        <w:t>单一来源采购项目</w:t>
      </w:r>
    </w:p>
    <w:p w14:paraId="0A63DF61">
      <w:pPr>
        <w:pStyle w:val="15"/>
        <w:jc w:val="center"/>
        <w:outlineLvl w:val="1"/>
        <w:rPr>
          <w:highlight w:val="none"/>
        </w:rPr>
      </w:pPr>
      <w:r>
        <w:rPr>
          <w:b/>
          <w:sz w:val="36"/>
          <w:highlight w:val="none"/>
        </w:rPr>
        <w:t>响应文件</w:t>
      </w:r>
      <w:r>
        <w:rPr>
          <w:highlight w:val="none"/>
        </w:rPr>
        <w:br w:type="textWrapping"/>
      </w:r>
      <w:r>
        <w:rPr>
          <w:highlight w:val="none"/>
        </w:rPr>
        <w:br w:type="textWrapping"/>
      </w:r>
    </w:p>
    <w:p w14:paraId="53D555E4">
      <w:pPr>
        <w:pStyle w:val="15"/>
        <w:jc w:val="center"/>
        <w:outlineLvl w:val="2"/>
        <w:rPr>
          <w:highlight w:val="none"/>
        </w:rPr>
      </w:pPr>
      <w:r>
        <w:rPr>
          <w:b/>
          <w:sz w:val="28"/>
          <w:highlight w:val="none"/>
        </w:rPr>
        <w:t>（填写正本或副本）</w:t>
      </w:r>
      <w:r>
        <w:rPr>
          <w:highlight w:val="none"/>
        </w:rPr>
        <w:br w:type="textWrapping"/>
      </w:r>
      <w:r>
        <w:rPr>
          <w:highlight w:val="none"/>
        </w:rPr>
        <w:br w:type="textWrapping"/>
      </w:r>
      <w:r>
        <w:rPr>
          <w:highlight w:val="none"/>
        </w:rPr>
        <w:br w:type="textWrapping"/>
      </w:r>
    </w:p>
    <w:p w14:paraId="2AB266E7">
      <w:pPr>
        <w:pStyle w:val="15"/>
        <w:jc w:val="left"/>
        <w:outlineLvl w:val="2"/>
        <w:rPr>
          <w:highlight w:val="none"/>
        </w:rPr>
      </w:pPr>
      <w:r>
        <w:rPr>
          <w:b/>
          <w:sz w:val="28"/>
          <w:highlight w:val="none"/>
        </w:rPr>
        <w:t>项目名称：</w:t>
      </w:r>
      <w:r>
        <w:rPr>
          <w:b/>
          <w:sz w:val="28"/>
          <w:highlight w:val="none"/>
          <w:u w:val="single"/>
        </w:rPr>
        <w:t xml:space="preserve">                      </w:t>
      </w:r>
    </w:p>
    <w:p w14:paraId="10229B42">
      <w:pPr>
        <w:pStyle w:val="15"/>
        <w:jc w:val="left"/>
        <w:outlineLvl w:val="2"/>
        <w:rPr>
          <w:highlight w:val="none"/>
        </w:rPr>
      </w:pPr>
      <w:r>
        <w:rPr>
          <w:b/>
          <w:sz w:val="28"/>
          <w:highlight w:val="none"/>
        </w:rPr>
        <w:t>项目编号：</w:t>
      </w:r>
      <w:r>
        <w:rPr>
          <w:b/>
          <w:sz w:val="28"/>
          <w:highlight w:val="none"/>
          <w:u w:val="single"/>
        </w:rPr>
        <w:t xml:space="preserve">                      </w:t>
      </w:r>
    </w:p>
    <w:p w14:paraId="3ED187AF">
      <w:pPr>
        <w:pStyle w:val="15"/>
        <w:jc w:val="left"/>
        <w:outlineLvl w:val="2"/>
        <w:rPr>
          <w:highlight w:val="none"/>
        </w:rPr>
      </w:pPr>
      <w:r>
        <w:rPr>
          <w:b/>
          <w:sz w:val="28"/>
          <w:highlight w:val="none"/>
        </w:rPr>
        <w:t>合同包号：</w:t>
      </w:r>
      <w:r>
        <w:rPr>
          <w:b/>
          <w:sz w:val="28"/>
          <w:highlight w:val="none"/>
          <w:u w:val="single"/>
        </w:rPr>
        <w:t xml:space="preserve">                      </w:t>
      </w:r>
    </w:p>
    <w:p w14:paraId="48CBD14D">
      <w:pPr>
        <w:pStyle w:val="15"/>
        <w:jc w:val="left"/>
        <w:outlineLvl w:val="2"/>
        <w:rPr>
          <w:highlight w:val="none"/>
        </w:rPr>
      </w:pPr>
      <w:r>
        <w:rPr>
          <w:b/>
          <w:sz w:val="28"/>
          <w:highlight w:val="none"/>
        </w:rPr>
        <w:t>供应商名称：</w:t>
      </w:r>
      <w:r>
        <w:rPr>
          <w:b/>
          <w:sz w:val="28"/>
          <w:highlight w:val="none"/>
          <w:u w:val="single"/>
        </w:rPr>
        <w:t xml:space="preserve">                      </w:t>
      </w:r>
    </w:p>
    <w:p w14:paraId="138A29F8">
      <w:pPr>
        <w:pStyle w:val="15"/>
        <w:jc w:val="left"/>
        <w:outlineLvl w:val="2"/>
        <w:rPr>
          <w:highlight w:val="none"/>
        </w:rPr>
      </w:pPr>
      <w:r>
        <w:rPr>
          <w:b/>
          <w:sz w:val="28"/>
          <w:highlight w:val="none"/>
        </w:rPr>
        <w:t>单位负责人名称：</w:t>
      </w:r>
      <w:r>
        <w:rPr>
          <w:b/>
          <w:sz w:val="28"/>
          <w:highlight w:val="none"/>
          <w:u w:val="single"/>
        </w:rPr>
        <w:t xml:space="preserve">                      </w:t>
      </w:r>
    </w:p>
    <w:p w14:paraId="3D0490E5">
      <w:pPr>
        <w:pStyle w:val="15"/>
        <w:jc w:val="left"/>
        <w:outlineLvl w:val="2"/>
        <w:rPr>
          <w:highlight w:val="none"/>
        </w:rPr>
      </w:pPr>
      <w:r>
        <w:rPr>
          <w:b/>
          <w:sz w:val="28"/>
          <w:highlight w:val="none"/>
        </w:rPr>
        <w:t>授权代表名称：</w:t>
      </w:r>
      <w:r>
        <w:rPr>
          <w:b/>
          <w:sz w:val="28"/>
          <w:highlight w:val="none"/>
          <w:u w:val="single"/>
        </w:rPr>
        <w:t xml:space="preserve">                      </w:t>
      </w:r>
    </w:p>
    <w:p w14:paraId="2817C972">
      <w:pPr>
        <w:pStyle w:val="15"/>
        <w:jc w:val="left"/>
        <w:outlineLvl w:val="2"/>
        <w:rPr>
          <w:highlight w:val="none"/>
        </w:rPr>
      </w:pPr>
      <w:r>
        <w:rPr>
          <w:b/>
          <w:sz w:val="28"/>
          <w:highlight w:val="none"/>
        </w:rPr>
        <w:t>联 系 电 话：</w:t>
      </w:r>
      <w:r>
        <w:rPr>
          <w:b/>
          <w:sz w:val="28"/>
          <w:highlight w:val="none"/>
          <w:u w:val="single"/>
        </w:rPr>
        <w:t xml:space="preserve">                      </w:t>
      </w:r>
    </w:p>
    <w:p w14:paraId="3566FB64">
      <w:pPr>
        <w:pStyle w:val="15"/>
        <w:jc w:val="left"/>
        <w:outlineLvl w:val="2"/>
        <w:rPr>
          <w:highlight w:val="none"/>
        </w:rPr>
      </w:pPr>
      <w:r>
        <w:rPr>
          <w:b/>
          <w:sz w:val="28"/>
          <w:highlight w:val="none"/>
        </w:rPr>
        <w:t>联 系 地址：</w:t>
      </w:r>
      <w:r>
        <w:rPr>
          <w:b/>
          <w:sz w:val="28"/>
          <w:highlight w:val="none"/>
          <w:u w:val="single"/>
        </w:rPr>
        <w:t xml:space="preserve">                      </w:t>
      </w:r>
    </w:p>
    <w:p w14:paraId="62E05022">
      <w:pPr>
        <w:pStyle w:val="15"/>
        <w:jc w:val="both"/>
        <w:rPr>
          <w:highlight w:val="none"/>
        </w:rPr>
      </w:pPr>
    </w:p>
    <w:p w14:paraId="270FFD63">
      <w:pPr>
        <w:pStyle w:val="15"/>
        <w:jc w:val="both"/>
        <w:rPr>
          <w:highlight w:val="none"/>
        </w:rPr>
      </w:pPr>
      <w:r>
        <w:rPr>
          <w:b/>
          <w:highlight w:val="none"/>
        </w:rPr>
        <w:t xml:space="preserve"> </w:t>
      </w:r>
    </w:p>
    <w:p w14:paraId="072F26E1">
      <w:pPr>
        <w:rPr>
          <w:b/>
          <w:sz w:val="28"/>
          <w:highlight w:val="none"/>
        </w:rPr>
      </w:pPr>
      <w:r>
        <w:rPr>
          <w:b/>
          <w:sz w:val="28"/>
          <w:highlight w:val="none"/>
        </w:rPr>
        <w:br w:type="page"/>
      </w:r>
    </w:p>
    <w:p w14:paraId="428473AD">
      <w:pPr>
        <w:pStyle w:val="15"/>
        <w:jc w:val="center"/>
        <w:outlineLvl w:val="2"/>
        <w:rPr>
          <w:highlight w:val="none"/>
        </w:rPr>
      </w:pPr>
      <w:r>
        <w:rPr>
          <w:b/>
          <w:sz w:val="28"/>
          <w:highlight w:val="none"/>
        </w:rPr>
        <w:t>目录</w:t>
      </w:r>
    </w:p>
    <w:p w14:paraId="2A1EE284">
      <w:pPr>
        <w:pStyle w:val="15"/>
        <w:ind w:firstLine="480"/>
        <w:jc w:val="both"/>
        <w:rPr>
          <w:highlight w:val="none"/>
        </w:rPr>
      </w:pPr>
      <w:r>
        <w:rPr>
          <w:b/>
          <w:highlight w:val="none"/>
        </w:rPr>
        <w:t>一、协商响应声明</w:t>
      </w:r>
    </w:p>
    <w:p w14:paraId="569A3D05">
      <w:pPr>
        <w:pStyle w:val="15"/>
        <w:ind w:firstLine="480"/>
        <w:jc w:val="both"/>
        <w:rPr>
          <w:highlight w:val="none"/>
        </w:rPr>
      </w:pPr>
      <w:r>
        <w:rPr>
          <w:b/>
          <w:highlight w:val="none"/>
        </w:rPr>
        <w:t>附件1、《单位负责人身份证明复印件》</w:t>
      </w:r>
    </w:p>
    <w:p w14:paraId="4300D797">
      <w:pPr>
        <w:pStyle w:val="15"/>
        <w:ind w:firstLine="480"/>
        <w:jc w:val="both"/>
        <w:rPr>
          <w:highlight w:val="none"/>
        </w:rPr>
      </w:pPr>
      <w:r>
        <w:rPr>
          <w:b/>
          <w:highlight w:val="none"/>
        </w:rPr>
        <w:t>附件2、《单位负责人授权书》(单位负责人参加协商的可无须提供本函)</w:t>
      </w:r>
    </w:p>
    <w:p w14:paraId="683DB69B">
      <w:pPr>
        <w:pStyle w:val="15"/>
        <w:ind w:firstLine="480"/>
        <w:jc w:val="both"/>
        <w:rPr>
          <w:highlight w:val="none"/>
        </w:rPr>
      </w:pPr>
      <w:r>
        <w:rPr>
          <w:b/>
          <w:highlight w:val="none"/>
        </w:rPr>
        <w:t>二、供应商基本情况</w:t>
      </w:r>
    </w:p>
    <w:p w14:paraId="07DDD3F3">
      <w:pPr>
        <w:pStyle w:val="15"/>
        <w:ind w:firstLine="480"/>
        <w:jc w:val="both"/>
        <w:rPr>
          <w:highlight w:val="none"/>
        </w:rPr>
      </w:pPr>
      <w:r>
        <w:rPr>
          <w:b/>
          <w:highlight w:val="none"/>
        </w:rPr>
        <w:t>附件3、供应商基本资质材料</w:t>
      </w:r>
    </w:p>
    <w:p w14:paraId="33B704B4">
      <w:pPr>
        <w:pStyle w:val="15"/>
        <w:ind w:firstLine="480"/>
        <w:jc w:val="both"/>
        <w:rPr>
          <w:highlight w:val="none"/>
        </w:rPr>
      </w:pPr>
      <w:r>
        <w:rPr>
          <w:b/>
          <w:highlight w:val="none"/>
        </w:rPr>
        <w:t>附件4、协商保证金银行汇款凭证复印件</w:t>
      </w:r>
    </w:p>
    <w:p w14:paraId="71240942">
      <w:pPr>
        <w:pStyle w:val="15"/>
        <w:ind w:firstLine="480"/>
        <w:jc w:val="both"/>
        <w:rPr>
          <w:highlight w:val="none"/>
        </w:rPr>
      </w:pPr>
      <w:r>
        <w:rPr>
          <w:b/>
          <w:highlight w:val="none"/>
        </w:rPr>
        <w:t>附件5、采购文件要求的供应商其他资料</w:t>
      </w:r>
    </w:p>
    <w:p w14:paraId="16A71083">
      <w:pPr>
        <w:pStyle w:val="15"/>
        <w:ind w:firstLine="480"/>
        <w:jc w:val="both"/>
        <w:rPr>
          <w:highlight w:val="none"/>
        </w:rPr>
      </w:pPr>
      <w:r>
        <w:rPr>
          <w:b/>
          <w:highlight w:val="none"/>
        </w:rPr>
        <w:t>三、单一来源报价资料</w:t>
      </w:r>
    </w:p>
    <w:p w14:paraId="2E76D516">
      <w:pPr>
        <w:pStyle w:val="15"/>
        <w:ind w:firstLine="480"/>
        <w:jc w:val="both"/>
        <w:rPr>
          <w:highlight w:val="none"/>
        </w:rPr>
      </w:pPr>
      <w:r>
        <w:rPr>
          <w:b/>
          <w:highlight w:val="none"/>
        </w:rPr>
        <w:t>附件6、报价一览表</w:t>
      </w:r>
    </w:p>
    <w:p w14:paraId="22CF0BFC">
      <w:pPr>
        <w:pStyle w:val="15"/>
        <w:ind w:firstLine="480"/>
        <w:jc w:val="both"/>
        <w:rPr>
          <w:highlight w:val="none"/>
        </w:rPr>
      </w:pPr>
      <w:r>
        <w:rPr>
          <w:b/>
          <w:highlight w:val="none"/>
        </w:rPr>
        <w:t>附件7、采购标的成本说明(格式自定)</w:t>
      </w:r>
    </w:p>
    <w:p w14:paraId="56BFDDEF">
      <w:pPr>
        <w:pStyle w:val="15"/>
        <w:ind w:firstLine="480"/>
        <w:jc w:val="both"/>
        <w:rPr>
          <w:highlight w:val="none"/>
        </w:rPr>
      </w:pPr>
      <w:r>
        <w:rPr>
          <w:b/>
          <w:highlight w:val="none"/>
        </w:rPr>
        <w:t>附件8、同类项目合同价格说明(格式自定)</w:t>
      </w:r>
    </w:p>
    <w:p w14:paraId="474A22EC">
      <w:pPr>
        <w:pStyle w:val="15"/>
        <w:ind w:firstLine="480"/>
        <w:jc w:val="both"/>
        <w:rPr>
          <w:highlight w:val="none"/>
        </w:rPr>
      </w:pPr>
      <w:r>
        <w:rPr>
          <w:b/>
          <w:highlight w:val="none"/>
        </w:rPr>
        <w:t>附件9、供应商相关专利、专有技术情况说明(格式自定)</w:t>
      </w:r>
    </w:p>
    <w:p w14:paraId="36E23F37">
      <w:pPr>
        <w:pStyle w:val="15"/>
        <w:ind w:firstLine="480"/>
        <w:jc w:val="both"/>
        <w:rPr>
          <w:highlight w:val="none"/>
        </w:rPr>
      </w:pPr>
      <w:r>
        <w:rPr>
          <w:b/>
          <w:highlight w:val="none"/>
        </w:rPr>
        <w:t>四、技术商务条款响应情况</w:t>
      </w:r>
    </w:p>
    <w:p w14:paraId="068AA7DA">
      <w:pPr>
        <w:pStyle w:val="15"/>
        <w:ind w:firstLine="480"/>
        <w:jc w:val="both"/>
        <w:rPr>
          <w:highlight w:val="none"/>
        </w:rPr>
      </w:pPr>
      <w:r>
        <w:rPr>
          <w:b/>
          <w:highlight w:val="none"/>
        </w:rPr>
        <w:t>附件10、标的说明、技术方案或服务方案</w:t>
      </w:r>
    </w:p>
    <w:p w14:paraId="5E6541B3">
      <w:pPr>
        <w:pStyle w:val="15"/>
        <w:ind w:firstLine="480"/>
        <w:jc w:val="both"/>
        <w:rPr>
          <w:highlight w:val="none"/>
        </w:rPr>
      </w:pPr>
      <w:r>
        <w:rPr>
          <w:b/>
          <w:highlight w:val="none"/>
        </w:rPr>
        <w:t>附件11、协商内容及要求响应表</w:t>
      </w:r>
    </w:p>
    <w:p w14:paraId="50ECD563">
      <w:pPr>
        <w:pStyle w:val="15"/>
        <w:ind w:firstLine="480"/>
        <w:jc w:val="both"/>
        <w:rPr>
          <w:b/>
          <w:highlight w:val="none"/>
        </w:rPr>
      </w:pPr>
      <w:r>
        <w:rPr>
          <w:b/>
          <w:highlight w:val="none"/>
        </w:rPr>
        <w:t>附件12、供应商认为需要提供的其他技术资料</w:t>
      </w:r>
    </w:p>
    <w:p w14:paraId="02CB78A4">
      <w:pPr>
        <w:pStyle w:val="15"/>
        <w:ind w:firstLine="480"/>
        <w:jc w:val="both"/>
        <w:rPr>
          <w:rFonts w:hint="default" w:eastAsiaTheme="minorEastAsia"/>
          <w:b/>
          <w:highlight w:val="none"/>
          <w:lang w:val="en-US" w:eastAsia="zh-CN"/>
        </w:rPr>
      </w:pPr>
      <w:r>
        <w:rPr>
          <w:rFonts w:hint="eastAsia"/>
          <w:b/>
          <w:highlight w:val="none"/>
          <w:lang w:eastAsia="zh-CN"/>
        </w:rPr>
        <w:t>附件</w:t>
      </w:r>
      <w:r>
        <w:rPr>
          <w:rFonts w:hint="eastAsia"/>
          <w:b/>
          <w:highlight w:val="none"/>
          <w:lang w:val="en-US" w:eastAsia="zh-CN"/>
        </w:rPr>
        <w:t>13、资格承诺函</w:t>
      </w:r>
    </w:p>
    <w:p w14:paraId="6B268C7C">
      <w:pPr>
        <w:pStyle w:val="15"/>
        <w:jc w:val="both"/>
        <w:rPr>
          <w:highlight w:val="none"/>
        </w:rPr>
      </w:pPr>
    </w:p>
    <w:p w14:paraId="2B4F3785">
      <w:pPr>
        <w:pStyle w:val="15"/>
        <w:jc w:val="both"/>
        <w:rPr>
          <w:highlight w:val="none"/>
        </w:rPr>
      </w:pPr>
      <w:r>
        <w:rPr>
          <w:b/>
          <w:highlight w:val="none"/>
        </w:rPr>
        <w:t xml:space="preserve"> </w:t>
      </w:r>
    </w:p>
    <w:p w14:paraId="0AC9FDE2">
      <w:pPr>
        <w:rPr>
          <w:b/>
          <w:sz w:val="28"/>
          <w:highlight w:val="none"/>
        </w:rPr>
      </w:pPr>
      <w:r>
        <w:rPr>
          <w:b/>
          <w:sz w:val="28"/>
          <w:highlight w:val="none"/>
        </w:rPr>
        <w:br w:type="page"/>
      </w:r>
    </w:p>
    <w:p w14:paraId="484A6F50">
      <w:pPr>
        <w:pStyle w:val="15"/>
        <w:jc w:val="center"/>
        <w:outlineLvl w:val="2"/>
        <w:rPr>
          <w:highlight w:val="none"/>
        </w:rPr>
      </w:pPr>
      <w:r>
        <w:rPr>
          <w:b/>
          <w:sz w:val="28"/>
          <w:highlight w:val="none"/>
        </w:rPr>
        <w:t>一、协商响应声明</w:t>
      </w:r>
    </w:p>
    <w:p w14:paraId="71516A2E">
      <w:pPr>
        <w:pStyle w:val="15"/>
        <w:ind w:firstLine="480"/>
        <w:jc w:val="both"/>
        <w:rPr>
          <w:highlight w:val="none"/>
        </w:rPr>
      </w:pPr>
      <w:r>
        <w:rPr>
          <w:highlight w:val="none"/>
        </w:rPr>
        <w:t>致：</w:t>
      </w:r>
      <w:r>
        <w:rPr>
          <w:highlight w:val="none"/>
          <w:u w:val="single"/>
        </w:rPr>
        <w:t>（采购人或采购代理机构）</w:t>
      </w:r>
    </w:p>
    <w:p w14:paraId="3E228586">
      <w:pPr>
        <w:pStyle w:val="15"/>
        <w:ind w:firstLine="480"/>
        <w:jc w:val="both"/>
        <w:rPr>
          <w:highlight w:val="none"/>
        </w:rPr>
      </w:pPr>
      <w:r>
        <w:rPr>
          <w:highlight w:val="none"/>
        </w:rPr>
        <w:t>兹收到贵单位关于</w:t>
      </w:r>
      <w:r>
        <w:rPr>
          <w:highlight w:val="none"/>
          <w:u w:val="single"/>
        </w:rPr>
        <w:t>（填写“项目名称”）</w:t>
      </w:r>
      <w:r>
        <w:rPr>
          <w:highlight w:val="none"/>
        </w:rPr>
        <w:t>项目</w:t>
      </w:r>
      <w:r>
        <w:rPr>
          <w:highlight w:val="none"/>
          <w:u w:val="single"/>
        </w:rPr>
        <w:t>（项目编号：　　　　　）</w:t>
      </w:r>
      <w:r>
        <w:rPr>
          <w:highlight w:val="none"/>
        </w:rPr>
        <w:t>的协商邀请，本供应商代表</w:t>
      </w:r>
      <w:r>
        <w:rPr>
          <w:highlight w:val="none"/>
          <w:u w:val="single"/>
        </w:rPr>
        <w:t>（填写“全名”）</w:t>
      </w:r>
      <w:r>
        <w:rPr>
          <w:highlight w:val="none"/>
        </w:rPr>
        <w:t>已获得我方正式授权并代表供应商（填写“全称”）参加协调，并提交采购文件规定份数的响应文件正本和副本。</w:t>
      </w:r>
    </w:p>
    <w:p w14:paraId="741E6BDE">
      <w:pPr>
        <w:pStyle w:val="15"/>
        <w:ind w:firstLine="480"/>
        <w:jc w:val="both"/>
        <w:rPr>
          <w:highlight w:val="none"/>
        </w:rPr>
      </w:pPr>
      <w:r>
        <w:rPr>
          <w:highlight w:val="none"/>
        </w:rPr>
        <w:t>根据本函，本供应商代表宣布我方保证遵守招标文件的全部规定，同时：</w:t>
      </w:r>
    </w:p>
    <w:p w14:paraId="12445300">
      <w:pPr>
        <w:pStyle w:val="15"/>
        <w:ind w:firstLine="480"/>
        <w:jc w:val="both"/>
        <w:rPr>
          <w:highlight w:val="none"/>
        </w:rPr>
      </w:pPr>
      <w:r>
        <w:rPr>
          <w:highlight w:val="none"/>
        </w:rPr>
        <w:t>1、确认：</w:t>
      </w:r>
    </w:p>
    <w:p w14:paraId="0A616606">
      <w:pPr>
        <w:pStyle w:val="15"/>
        <w:ind w:firstLine="480"/>
        <w:jc w:val="both"/>
        <w:rPr>
          <w:highlight w:val="none"/>
        </w:rPr>
      </w:pPr>
      <w:r>
        <w:rPr>
          <w:highlight w:val="none"/>
        </w:rPr>
        <w:t>1.1所投采购包的报价详见“报价一览表”，最终成交价格以双方协商一致的有效报价为准。</w:t>
      </w:r>
    </w:p>
    <w:p w14:paraId="5F49E80D">
      <w:pPr>
        <w:pStyle w:val="15"/>
        <w:ind w:firstLine="480"/>
        <w:jc w:val="both"/>
        <w:rPr>
          <w:highlight w:val="none"/>
        </w:rPr>
      </w:pPr>
      <w:r>
        <w:rPr>
          <w:highlight w:val="none"/>
        </w:rPr>
        <w:t>1.2我方已详细审查全部采购文件及其附件（若有），包括其澄清或修改（若有），并将自行承担因对全部采购文件理解不正确或误解而产生的相应后果。</w:t>
      </w:r>
    </w:p>
    <w:p w14:paraId="4665B72B">
      <w:pPr>
        <w:pStyle w:val="15"/>
        <w:ind w:firstLine="480"/>
        <w:jc w:val="both"/>
        <w:rPr>
          <w:highlight w:val="none"/>
        </w:rPr>
      </w:pPr>
      <w:r>
        <w:rPr>
          <w:highlight w:val="none"/>
        </w:rPr>
        <w:t>2、承诺</w:t>
      </w:r>
    </w:p>
    <w:p w14:paraId="58C36860">
      <w:pPr>
        <w:pStyle w:val="15"/>
        <w:ind w:firstLine="480"/>
        <w:jc w:val="both"/>
        <w:rPr>
          <w:highlight w:val="none"/>
        </w:rPr>
      </w:pPr>
      <w:r>
        <w:rPr>
          <w:highlight w:val="none"/>
        </w:rPr>
        <w:t>2.1采购文件各组成部分的内容及其所提交的全部资料是不可割离且真实、有效、准确、完整和不具有任何误导性的，否则造成不利后果由我方承担责任。</w:t>
      </w:r>
    </w:p>
    <w:p w14:paraId="4694C932">
      <w:pPr>
        <w:pStyle w:val="15"/>
        <w:ind w:firstLine="480"/>
        <w:jc w:val="both"/>
        <w:rPr>
          <w:highlight w:val="none"/>
        </w:rPr>
      </w:pPr>
      <w:r>
        <w:rPr>
          <w:highlight w:val="none"/>
        </w:rPr>
        <w:t>2.2协商保证金：若出现采购文件第三章规定的情形，同意贵单位不予退还。</w:t>
      </w:r>
    </w:p>
    <w:p w14:paraId="337D64BC">
      <w:pPr>
        <w:pStyle w:val="15"/>
        <w:ind w:firstLine="480"/>
        <w:jc w:val="both"/>
        <w:rPr>
          <w:highlight w:val="none"/>
        </w:rPr>
      </w:pPr>
      <w:r>
        <w:rPr>
          <w:highlight w:val="none"/>
        </w:rPr>
        <w:t>2.3协商有效期：按照采购文件第三章规定执行，并在采购文件第二章载明的期限内保持有效。</w:t>
      </w:r>
    </w:p>
    <w:p w14:paraId="2CFEE1D6">
      <w:pPr>
        <w:pStyle w:val="15"/>
        <w:ind w:firstLine="480"/>
        <w:jc w:val="both"/>
        <w:rPr>
          <w:highlight w:val="none"/>
        </w:rPr>
      </w:pPr>
      <w:r>
        <w:rPr>
          <w:highlight w:val="none"/>
        </w:rPr>
        <w:t>2.4若成交，则按照采购文件、我方响应文件及采购合同的约定履行责任和义务。</w:t>
      </w:r>
    </w:p>
    <w:p w14:paraId="0F7E50E8">
      <w:pPr>
        <w:pStyle w:val="15"/>
        <w:ind w:firstLine="480"/>
        <w:jc w:val="both"/>
        <w:rPr>
          <w:highlight w:val="none"/>
        </w:rPr>
      </w:pPr>
      <w:r>
        <w:rPr>
          <w:highlight w:val="none"/>
        </w:rPr>
        <w:t>2.5若贵单位要求，我方同意提供与本项目采购有关的一切资料、数据或文件，并完全理解贵单位不一定要接受我方的报价。</w:t>
      </w:r>
    </w:p>
    <w:p w14:paraId="4F56412E">
      <w:pPr>
        <w:pStyle w:val="15"/>
        <w:ind w:firstLine="480"/>
        <w:jc w:val="both"/>
        <w:rPr>
          <w:highlight w:val="none"/>
        </w:rPr>
      </w:pPr>
      <w:r>
        <w:rPr>
          <w:highlight w:val="none"/>
        </w:rPr>
        <w:t>3、声明</w:t>
      </w:r>
    </w:p>
    <w:p w14:paraId="69F96FD3">
      <w:pPr>
        <w:pStyle w:val="15"/>
        <w:ind w:firstLine="480"/>
        <w:jc w:val="both"/>
        <w:rPr>
          <w:highlight w:val="none"/>
        </w:rPr>
      </w:pPr>
      <w:r>
        <w:rPr>
          <w:highlight w:val="none"/>
        </w:rPr>
        <w:t>3.1我方具备采购文件第一章载明的“供应商的资格要求”且我方承诺在参加采购活动前三年内在经营活动中没有《政府采购法》第二十二条第一款第(五)项所称重大违法记录，包括：我单位或者单位负责人、董事、监事、高级管理人员未因经营活动中的违法行为受到刑事处罚或者责令停产停业、吊销许可证或者执照、较大数额罚款等行政处罚。</w:t>
      </w:r>
    </w:p>
    <w:p w14:paraId="3F47EAA3">
      <w:pPr>
        <w:pStyle w:val="15"/>
        <w:ind w:firstLine="480"/>
        <w:jc w:val="both"/>
        <w:rPr>
          <w:highlight w:val="none"/>
        </w:rPr>
      </w:pPr>
      <w:r>
        <w:rPr>
          <w:highlight w:val="none"/>
        </w:rPr>
        <w:t>3.2与本项目协商过程中有关的一切正式往来通讯请寄：</w:t>
      </w:r>
    </w:p>
    <w:p w14:paraId="45EFECA7">
      <w:pPr>
        <w:pStyle w:val="15"/>
        <w:ind w:firstLine="480"/>
        <w:jc w:val="both"/>
        <w:rPr>
          <w:highlight w:val="none"/>
        </w:rPr>
      </w:pPr>
      <w:r>
        <w:rPr>
          <w:highlight w:val="none"/>
        </w:rPr>
        <w:t>地址：</w:t>
      </w:r>
      <w:r>
        <w:rPr>
          <w:highlight w:val="none"/>
          <w:u w:val="single"/>
        </w:rPr>
        <w:t>　　　　　　　</w:t>
      </w:r>
      <w:r>
        <w:rPr>
          <w:highlight w:val="none"/>
        </w:rPr>
        <w:t>邮编：</w:t>
      </w:r>
      <w:r>
        <w:rPr>
          <w:highlight w:val="none"/>
          <w:u w:val="single"/>
        </w:rPr>
        <w:t>　　　　　　　</w:t>
      </w:r>
    </w:p>
    <w:p w14:paraId="7C01A736">
      <w:pPr>
        <w:pStyle w:val="15"/>
        <w:ind w:firstLine="480"/>
        <w:jc w:val="both"/>
        <w:rPr>
          <w:highlight w:val="none"/>
        </w:rPr>
      </w:pPr>
      <w:r>
        <w:rPr>
          <w:highlight w:val="none"/>
        </w:rPr>
        <w:t>联系方法：</w:t>
      </w:r>
      <w:r>
        <w:rPr>
          <w:highlight w:val="none"/>
          <w:u w:val="single"/>
        </w:rPr>
        <w:t>　　　　　　　</w:t>
      </w:r>
    </w:p>
    <w:p w14:paraId="5086CB0D">
      <w:pPr>
        <w:pStyle w:val="15"/>
        <w:ind w:firstLine="480"/>
        <w:jc w:val="right"/>
        <w:rPr>
          <w:highlight w:val="none"/>
        </w:rPr>
      </w:pPr>
      <w:r>
        <w:rPr>
          <w:highlight w:val="none"/>
        </w:rPr>
        <w:t>供应商代表签名或签章：</w:t>
      </w:r>
      <w:r>
        <w:rPr>
          <w:highlight w:val="none"/>
          <w:u w:val="single"/>
        </w:rPr>
        <w:t>　　　　　　　</w:t>
      </w:r>
    </w:p>
    <w:p w14:paraId="09B87C30">
      <w:pPr>
        <w:pStyle w:val="15"/>
        <w:ind w:firstLine="480"/>
        <w:jc w:val="right"/>
        <w:rPr>
          <w:highlight w:val="none"/>
        </w:rPr>
      </w:pPr>
      <w:r>
        <w:rPr>
          <w:highlight w:val="none"/>
        </w:rPr>
        <w:t>供应商（全称并加盖公章）：</w:t>
      </w:r>
      <w:r>
        <w:rPr>
          <w:highlight w:val="none"/>
          <w:u w:val="single"/>
        </w:rPr>
        <w:t>　　　　　　　</w:t>
      </w:r>
    </w:p>
    <w:p w14:paraId="5D0134D8">
      <w:pPr>
        <w:pStyle w:val="15"/>
        <w:ind w:firstLine="480"/>
        <w:jc w:val="right"/>
        <w:rPr>
          <w:highlight w:val="none"/>
        </w:rPr>
      </w:pPr>
      <w:r>
        <w:rPr>
          <w:highlight w:val="none"/>
        </w:rPr>
        <w:t>日期：　　年　　月　　日</w:t>
      </w:r>
    </w:p>
    <w:p w14:paraId="0B5222A5">
      <w:pPr>
        <w:pStyle w:val="15"/>
        <w:jc w:val="both"/>
        <w:rPr>
          <w:highlight w:val="none"/>
        </w:rPr>
      </w:pPr>
    </w:p>
    <w:p w14:paraId="5CC92229">
      <w:pPr>
        <w:pStyle w:val="15"/>
        <w:jc w:val="both"/>
        <w:rPr>
          <w:highlight w:val="none"/>
        </w:rPr>
      </w:pPr>
      <w:r>
        <w:rPr>
          <w:b/>
          <w:highlight w:val="none"/>
        </w:rPr>
        <w:t xml:space="preserve"> </w:t>
      </w:r>
    </w:p>
    <w:p w14:paraId="3037E710">
      <w:pPr>
        <w:pStyle w:val="15"/>
        <w:jc w:val="center"/>
        <w:outlineLvl w:val="2"/>
        <w:rPr>
          <w:highlight w:val="none"/>
        </w:rPr>
      </w:pPr>
      <w:r>
        <w:rPr>
          <w:b/>
          <w:sz w:val="28"/>
          <w:highlight w:val="none"/>
        </w:rPr>
        <w:t>附件1、法定代表人或单位负责人身份证明复印件</w:t>
      </w:r>
    </w:p>
    <w:p w14:paraId="5B6D2A46">
      <w:pPr>
        <w:pStyle w:val="15"/>
        <w:jc w:val="both"/>
        <w:rPr>
          <w:highlight w:val="none"/>
        </w:rPr>
      </w:pPr>
    </w:p>
    <w:p w14:paraId="278D4600">
      <w:pPr>
        <w:pStyle w:val="15"/>
        <w:jc w:val="both"/>
        <w:rPr>
          <w:highlight w:val="none"/>
        </w:rPr>
      </w:pPr>
      <w:r>
        <w:rPr>
          <w:highlight w:val="none"/>
        </w:rPr>
        <w:br w:type="textWrapping"/>
      </w:r>
    </w:p>
    <w:p w14:paraId="277B479A">
      <w:pPr>
        <w:pStyle w:val="15"/>
        <w:jc w:val="both"/>
        <w:rPr>
          <w:highlight w:val="none"/>
        </w:rPr>
      </w:pPr>
      <w:r>
        <w:rPr>
          <w:b/>
          <w:highlight w:val="none"/>
        </w:rPr>
        <w:t>法定代表人或单位负责人身份证正面复印件</w:t>
      </w:r>
    </w:p>
    <w:p w14:paraId="734D73EB">
      <w:pPr>
        <w:pStyle w:val="15"/>
        <w:jc w:val="both"/>
        <w:rPr>
          <w:highlight w:val="none"/>
        </w:rPr>
      </w:pPr>
      <w:r>
        <w:rPr>
          <w:b/>
          <w:highlight w:val="none"/>
        </w:rPr>
        <w:t>（正面）</w:t>
      </w:r>
      <w:r>
        <w:rPr>
          <w:highlight w:val="none"/>
        </w:rPr>
        <w:br w:type="textWrapping"/>
      </w:r>
    </w:p>
    <w:p w14:paraId="6C072CCD">
      <w:pPr>
        <w:pStyle w:val="15"/>
        <w:pBdr>
          <w:top w:val="dashed" w:color="000000" w:sz="4" w:space="0"/>
          <w:left w:val="dashed" w:color="000000" w:sz="4" w:space="0"/>
          <w:bottom w:val="dashed" w:color="000000" w:sz="4" w:space="0"/>
          <w:right w:val="dashed" w:color="000000" w:sz="4" w:space="0"/>
        </w:pBdr>
        <w:jc w:val="center"/>
        <w:rPr>
          <w:highlight w:val="none"/>
        </w:rPr>
      </w:pPr>
      <w:r>
        <w:rPr>
          <w:highlight w:val="none"/>
        </w:rPr>
        <w:br w:type="textWrapping"/>
      </w:r>
    </w:p>
    <w:p w14:paraId="489F6791">
      <w:pPr>
        <w:pStyle w:val="15"/>
        <w:jc w:val="center"/>
        <w:rPr>
          <w:highlight w:val="none"/>
        </w:rPr>
      </w:pPr>
      <w:r>
        <w:rPr>
          <w:b/>
          <w:highlight w:val="none"/>
        </w:rPr>
        <w:t>法定代表人或单位负责人身份证反面复印件</w:t>
      </w:r>
    </w:p>
    <w:p w14:paraId="2A7AC120">
      <w:pPr>
        <w:pStyle w:val="15"/>
        <w:jc w:val="center"/>
        <w:rPr>
          <w:highlight w:val="none"/>
        </w:rPr>
      </w:pPr>
      <w:r>
        <w:rPr>
          <w:b/>
          <w:highlight w:val="none"/>
        </w:rPr>
        <w:t>（反面）</w:t>
      </w:r>
      <w:r>
        <w:rPr>
          <w:highlight w:val="none"/>
        </w:rPr>
        <w:br w:type="textWrapping"/>
      </w:r>
    </w:p>
    <w:p w14:paraId="56D292CA">
      <w:pPr>
        <w:pStyle w:val="15"/>
        <w:ind w:firstLine="480"/>
        <w:jc w:val="both"/>
        <w:rPr>
          <w:highlight w:val="none"/>
        </w:rPr>
      </w:pPr>
      <w:r>
        <w:rPr>
          <w:b/>
          <w:highlight w:val="none"/>
        </w:rPr>
        <w:t>注：“单位负责人”指单位法定代表人（供应商为法人的）或法律、法规规定代表单位行使职权的主要负责人（供应商为其他组织的）。</w:t>
      </w:r>
    </w:p>
    <w:p w14:paraId="1FED0D49">
      <w:pPr>
        <w:pStyle w:val="15"/>
        <w:ind w:firstLine="480"/>
        <w:jc w:val="right"/>
        <w:rPr>
          <w:highlight w:val="none"/>
        </w:rPr>
      </w:pPr>
      <w:r>
        <w:rPr>
          <w:highlight w:val="none"/>
        </w:rPr>
        <w:t>供应商代表签名或签章：</w:t>
      </w:r>
      <w:r>
        <w:rPr>
          <w:highlight w:val="none"/>
          <w:u w:val="single"/>
        </w:rPr>
        <w:t>　　　　　　　</w:t>
      </w:r>
    </w:p>
    <w:p w14:paraId="264BFFD7">
      <w:pPr>
        <w:pStyle w:val="15"/>
        <w:ind w:firstLine="480"/>
        <w:jc w:val="right"/>
        <w:rPr>
          <w:highlight w:val="none"/>
        </w:rPr>
      </w:pPr>
      <w:r>
        <w:rPr>
          <w:highlight w:val="none"/>
        </w:rPr>
        <w:t>供应商（全称并加盖公章）：</w:t>
      </w:r>
      <w:r>
        <w:rPr>
          <w:highlight w:val="none"/>
          <w:u w:val="single"/>
        </w:rPr>
        <w:t>　　　　　　　</w:t>
      </w:r>
    </w:p>
    <w:p w14:paraId="563956EF">
      <w:pPr>
        <w:pStyle w:val="15"/>
        <w:ind w:firstLine="480"/>
        <w:jc w:val="right"/>
        <w:rPr>
          <w:highlight w:val="none"/>
        </w:rPr>
      </w:pPr>
      <w:r>
        <w:rPr>
          <w:highlight w:val="none"/>
        </w:rPr>
        <w:t>日期：　　年　　月　　日</w:t>
      </w:r>
    </w:p>
    <w:p w14:paraId="190527E2">
      <w:pPr>
        <w:pStyle w:val="15"/>
        <w:jc w:val="both"/>
        <w:rPr>
          <w:highlight w:val="none"/>
        </w:rPr>
      </w:pPr>
    </w:p>
    <w:p w14:paraId="7894037F">
      <w:pPr>
        <w:pStyle w:val="15"/>
        <w:jc w:val="both"/>
        <w:rPr>
          <w:highlight w:val="none"/>
        </w:rPr>
      </w:pPr>
      <w:r>
        <w:rPr>
          <w:b/>
          <w:highlight w:val="none"/>
        </w:rPr>
        <w:t xml:space="preserve"> </w:t>
      </w:r>
    </w:p>
    <w:p w14:paraId="09F7920F">
      <w:pPr>
        <w:pStyle w:val="15"/>
        <w:jc w:val="center"/>
        <w:rPr>
          <w:highlight w:val="none"/>
        </w:rPr>
      </w:pPr>
      <w:r>
        <w:rPr>
          <w:highlight w:val="none"/>
        </w:rPr>
        <w:t>附件2、单位负责人授权书(注：单位负责人参加协商的可无须提供本函)</w:t>
      </w:r>
    </w:p>
    <w:p w14:paraId="6E0348CC">
      <w:pPr>
        <w:pStyle w:val="15"/>
        <w:ind w:firstLine="480"/>
        <w:jc w:val="both"/>
        <w:rPr>
          <w:highlight w:val="none"/>
        </w:rPr>
      </w:pPr>
      <w:r>
        <w:rPr>
          <w:highlight w:val="none"/>
        </w:rPr>
        <w:t>致：</w:t>
      </w:r>
      <w:r>
        <w:rPr>
          <w:highlight w:val="none"/>
          <w:u w:val="single"/>
        </w:rPr>
        <w:t>（采购人或采购代理机构）</w:t>
      </w:r>
    </w:p>
    <w:p w14:paraId="66B2B935">
      <w:pPr>
        <w:pStyle w:val="15"/>
        <w:ind w:firstLine="480"/>
        <w:jc w:val="both"/>
        <w:rPr>
          <w:highlight w:val="none"/>
        </w:rPr>
      </w:pPr>
      <w:r>
        <w:rPr>
          <w:highlight w:val="none"/>
          <w:u w:val="single"/>
        </w:rPr>
        <w:t>（供应商全称）</w:t>
      </w:r>
      <w:r>
        <w:rPr>
          <w:highlight w:val="none"/>
        </w:rPr>
        <w:t>单位负责人</w:t>
      </w:r>
      <w:r>
        <w:rPr>
          <w:highlight w:val="none"/>
          <w:u w:val="single"/>
        </w:rPr>
        <w:t>　　　　　</w:t>
      </w:r>
      <w:r>
        <w:rPr>
          <w:highlight w:val="none"/>
        </w:rPr>
        <w:t>授权</w:t>
      </w:r>
      <w:r>
        <w:rPr>
          <w:highlight w:val="none"/>
          <w:u w:val="single"/>
        </w:rPr>
        <w:t>（供应商代表姓名）</w:t>
      </w:r>
      <w:r>
        <w:rPr>
          <w:highlight w:val="none"/>
        </w:rPr>
        <w:t>为本供应商协商代表，</w:t>
      </w:r>
      <w:r>
        <w:rPr>
          <w:highlight w:val="none"/>
        </w:rPr>
        <w:tab/>
      </w:r>
      <w:r>
        <w:rPr>
          <w:highlight w:val="none"/>
        </w:rPr>
        <w:t xml:space="preserve"> 代表本供应商参加贵司组织的</w:t>
      </w:r>
      <w:r>
        <w:rPr>
          <w:highlight w:val="none"/>
          <w:u w:val="single"/>
        </w:rPr>
        <w:t>　　　　　</w:t>
      </w:r>
      <w:r>
        <w:rPr>
          <w:highlight w:val="none"/>
        </w:rPr>
        <w:t>项目</w:t>
      </w:r>
      <w:r>
        <w:rPr>
          <w:highlight w:val="none"/>
          <w:u w:val="single"/>
        </w:rPr>
        <w:t>（项目编号：　　　　　）</w:t>
      </w:r>
      <w:r>
        <w:rPr>
          <w:highlight w:val="none"/>
        </w:rPr>
        <w:t>协商活动，全权代表本供应商处理协商过程的一切事宜，包括但不限于：报价、签约等。协商代表在协商过程中所签署的一切文件和处理与之有关的一切事务，本供应商均予以认可并对此承担责任。协商代表无转委托权。特此授权。</w:t>
      </w:r>
    </w:p>
    <w:p w14:paraId="069C4E3D">
      <w:pPr>
        <w:pStyle w:val="15"/>
        <w:ind w:firstLine="480"/>
        <w:jc w:val="both"/>
        <w:rPr>
          <w:highlight w:val="none"/>
        </w:rPr>
      </w:pPr>
      <w:r>
        <w:rPr>
          <w:highlight w:val="none"/>
        </w:rPr>
        <w:t>本授权书自出具之日起生效。</w:t>
      </w:r>
    </w:p>
    <w:p w14:paraId="5BBA754F">
      <w:pPr>
        <w:pStyle w:val="15"/>
        <w:ind w:firstLine="480"/>
        <w:jc w:val="both"/>
        <w:rPr>
          <w:highlight w:val="none"/>
        </w:rPr>
      </w:pPr>
      <w:r>
        <w:rPr>
          <w:highlight w:val="none"/>
        </w:rPr>
        <w:t>单位负责人：</w:t>
      </w:r>
      <w:r>
        <w:rPr>
          <w:highlight w:val="none"/>
          <w:u w:val="single"/>
        </w:rPr>
        <w:t>　　　　　　　</w:t>
      </w:r>
      <w:r>
        <w:rPr>
          <w:highlight w:val="none"/>
        </w:rPr>
        <w:t>性别：</w:t>
      </w:r>
      <w:r>
        <w:rPr>
          <w:highlight w:val="none"/>
          <w:u w:val="single"/>
        </w:rPr>
        <w:t>　　　　　　　</w:t>
      </w:r>
      <w:r>
        <w:rPr>
          <w:highlight w:val="none"/>
        </w:rPr>
        <w:t>身份证号：</w:t>
      </w:r>
      <w:r>
        <w:rPr>
          <w:highlight w:val="none"/>
          <w:u w:val="single"/>
        </w:rPr>
        <w:t>　　　　　　　</w:t>
      </w:r>
    </w:p>
    <w:p w14:paraId="1F3DFAA1">
      <w:pPr>
        <w:pStyle w:val="15"/>
        <w:ind w:firstLine="480"/>
        <w:jc w:val="both"/>
        <w:rPr>
          <w:highlight w:val="none"/>
        </w:rPr>
      </w:pPr>
      <w:r>
        <w:rPr>
          <w:highlight w:val="none"/>
        </w:rPr>
        <w:t>协商代表：</w:t>
      </w:r>
      <w:r>
        <w:rPr>
          <w:highlight w:val="none"/>
          <w:u w:val="single"/>
        </w:rPr>
        <w:t>　　　　　　　</w:t>
      </w:r>
      <w:r>
        <w:rPr>
          <w:highlight w:val="none"/>
        </w:rPr>
        <w:t>性别：</w:t>
      </w:r>
      <w:r>
        <w:rPr>
          <w:highlight w:val="none"/>
          <w:u w:val="single"/>
        </w:rPr>
        <w:t>　　　　　　　</w:t>
      </w:r>
      <w:r>
        <w:rPr>
          <w:highlight w:val="none"/>
        </w:rPr>
        <w:t>身份证号：</w:t>
      </w:r>
      <w:r>
        <w:rPr>
          <w:highlight w:val="none"/>
          <w:u w:val="single"/>
        </w:rPr>
        <w:t>　　　　　　　</w:t>
      </w:r>
    </w:p>
    <w:p w14:paraId="2000C786">
      <w:pPr>
        <w:pStyle w:val="15"/>
        <w:ind w:firstLine="480"/>
        <w:jc w:val="both"/>
        <w:rPr>
          <w:highlight w:val="none"/>
        </w:rPr>
      </w:pPr>
      <w:r>
        <w:rPr>
          <w:highlight w:val="none"/>
        </w:rPr>
        <w:t>单位：</w:t>
      </w:r>
      <w:r>
        <w:rPr>
          <w:highlight w:val="none"/>
          <w:u w:val="single"/>
        </w:rPr>
        <w:t>　　　　　　　</w:t>
      </w:r>
      <w:r>
        <w:rPr>
          <w:highlight w:val="none"/>
        </w:rPr>
        <w:t>部门：</w:t>
      </w:r>
      <w:r>
        <w:rPr>
          <w:highlight w:val="none"/>
          <w:u w:val="single"/>
        </w:rPr>
        <w:t>　　　　　　　</w:t>
      </w:r>
      <w:r>
        <w:rPr>
          <w:highlight w:val="none"/>
        </w:rPr>
        <w:t>职务：</w:t>
      </w:r>
      <w:r>
        <w:rPr>
          <w:highlight w:val="none"/>
          <w:u w:val="single"/>
        </w:rPr>
        <w:t>　　　　　　　</w:t>
      </w:r>
    </w:p>
    <w:p w14:paraId="3FBB6328">
      <w:pPr>
        <w:pStyle w:val="15"/>
        <w:ind w:firstLine="480"/>
        <w:jc w:val="both"/>
        <w:rPr>
          <w:highlight w:val="none"/>
        </w:rPr>
      </w:pPr>
      <w:r>
        <w:rPr>
          <w:highlight w:val="none"/>
        </w:rPr>
        <w:t>详细通讯地址：</w:t>
      </w:r>
      <w:r>
        <w:rPr>
          <w:highlight w:val="none"/>
          <w:u w:val="single"/>
        </w:rPr>
        <w:t>　　　　　　　</w:t>
      </w:r>
      <w:r>
        <w:rPr>
          <w:highlight w:val="none"/>
        </w:rPr>
        <w:t>邮政编码：</w:t>
      </w:r>
      <w:r>
        <w:rPr>
          <w:highlight w:val="none"/>
          <w:u w:val="single"/>
        </w:rPr>
        <w:t>　　　　　　　</w:t>
      </w:r>
      <w:r>
        <w:rPr>
          <w:highlight w:val="none"/>
        </w:rPr>
        <w:t>电话：</w:t>
      </w:r>
      <w:r>
        <w:rPr>
          <w:highlight w:val="none"/>
          <w:u w:val="single"/>
        </w:rPr>
        <w:t>　　　　　　　</w:t>
      </w:r>
    </w:p>
    <w:p w14:paraId="56B20E43">
      <w:pPr>
        <w:pStyle w:val="15"/>
        <w:ind w:firstLine="480"/>
        <w:jc w:val="both"/>
        <w:rPr>
          <w:highlight w:val="none"/>
        </w:rPr>
      </w:pPr>
      <w:r>
        <w:rPr>
          <w:highlight w:val="none"/>
        </w:rPr>
        <w:t>附：被授权人身份证正反面复印件（复印件须由供应商加盖公章）</w:t>
      </w:r>
    </w:p>
    <w:p w14:paraId="1720A220">
      <w:pPr>
        <w:pStyle w:val="15"/>
        <w:jc w:val="both"/>
        <w:rPr>
          <w:highlight w:val="none"/>
        </w:rPr>
      </w:pPr>
    </w:p>
    <w:p w14:paraId="2A0D88DF">
      <w:pPr>
        <w:pStyle w:val="15"/>
        <w:jc w:val="both"/>
        <w:rPr>
          <w:highlight w:val="none"/>
        </w:rPr>
      </w:pPr>
      <w:r>
        <w:rPr>
          <w:highlight w:val="none"/>
        </w:rPr>
        <w:br w:type="textWrapping"/>
      </w:r>
    </w:p>
    <w:p w14:paraId="328C035F">
      <w:pPr>
        <w:pStyle w:val="15"/>
        <w:jc w:val="both"/>
        <w:rPr>
          <w:highlight w:val="none"/>
        </w:rPr>
      </w:pPr>
      <w:r>
        <w:rPr>
          <w:b/>
          <w:highlight w:val="none"/>
        </w:rPr>
        <w:t>被授权代表身份证正面复印件</w:t>
      </w:r>
    </w:p>
    <w:p w14:paraId="589EAB8D">
      <w:pPr>
        <w:pStyle w:val="15"/>
        <w:jc w:val="both"/>
        <w:rPr>
          <w:highlight w:val="none"/>
        </w:rPr>
      </w:pPr>
      <w:r>
        <w:rPr>
          <w:b/>
          <w:highlight w:val="none"/>
        </w:rPr>
        <w:t>（正面）</w:t>
      </w:r>
      <w:r>
        <w:rPr>
          <w:highlight w:val="none"/>
        </w:rPr>
        <w:br w:type="textWrapping"/>
      </w:r>
    </w:p>
    <w:p w14:paraId="19F12F2C">
      <w:pPr>
        <w:pStyle w:val="15"/>
        <w:pBdr>
          <w:top w:val="dashed" w:color="000000" w:sz="4" w:space="0"/>
          <w:left w:val="dashed" w:color="000000" w:sz="4" w:space="0"/>
          <w:bottom w:val="dashed" w:color="000000" w:sz="4" w:space="0"/>
          <w:right w:val="dashed" w:color="000000" w:sz="4" w:space="0"/>
        </w:pBdr>
        <w:jc w:val="center"/>
        <w:rPr>
          <w:highlight w:val="none"/>
        </w:rPr>
      </w:pPr>
      <w:r>
        <w:rPr>
          <w:highlight w:val="none"/>
        </w:rPr>
        <w:br w:type="textWrapping"/>
      </w:r>
    </w:p>
    <w:p w14:paraId="1AA962C9">
      <w:pPr>
        <w:pStyle w:val="15"/>
        <w:jc w:val="center"/>
        <w:rPr>
          <w:highlight w:val="none"/>
        </w:rPr>
      </w:pPr>
      <w:r>
        <w:rPr>
          <w:b/>
          <w:highlight w:val="none"/>
        </w:rPr>
        <w:t>被授权代表身份证反面复印件</w:t>
      </w:r>
    </w:p>
    <w:p w14:paraId="1B6FBF30">
      <w:pPr>
        <w:pStyle w:val="15"/>
        <w:jc w:val="center"/>
        <w:rPr>
          <w:highlight w:val="none"/>
        </w:rPr>
      </w:pPr>
      <w:r>
        <w:rPr>
          <w:b/>
          <w:highlight w:val="none"/>
        </w:rPr>
        <w:t>（反面）</w:t>
      </w:r>
      <w:r>
        <w:rPr>
          <w:highlight w:val="none"/>
        </w:rPr>
        <w:br w:type="textWrapping"/>
      </w:r>
    </w:p>
    <w:p w14:paraId="1CABE263">
      <w:pPr>
        <w:pStyle w:val="15"/>
        <w:jc w:val="both"/>
        <w:rPr>
          <w:highlight w:val="none"/>
        </w:rPr>
      </w:pPr>
    </w:p>
    <w:p w14:paraId="1811E396">
      <w:pPr>
        <w:pStyle w:val="15"/>
        <w:jc w:val="both"/>
        <w:rPr>
          <w:highlight w:val="none"/>
        </w:rPr>
      </w:pPr>
    </w:p>
    <w:p w14:paraId="3DF498BB">
      <w:pPr>
        <w:pStyle w:val="15"/>
        <w:ind w:firstLine="480"/>
        <w:jc w:val="left"/>
        <w:rPr>
          <w:highlight w:val="none"/>
        </w:rPr>
      </w:pPr>
      <w:r>
        <w:rPr>
          <w:highlight w:val="none"/>
        </w:rPr>
        <w:t>授权方：</w:t>
      </w:r>
      <w:r>
        <w:rPr>
          <w:highlight w:val="none"/>
          <w:u w:val="single"/>
        </w:rPr>
        <w:t>　　　　　　　</w:t>
      </w:r>
    </w:p>
    <w:p w14:paraId="3FEC0F89">
      <w:pPr>
        <w:pStyle w:val="15"/>
        <w:ind w:firstLine="480"/>
        <w:jc w:val="left"/>
        <w:rPr>
          <w:highlight w:val="none"/>
        </w:rPr>
      </w:pPr>
      <w:r>
        <w:rPr>
          <w:highlight w:val="none"/>
        </w:rPr>
        <w:t>供应商（全称并加盖公章）：</w:t>
      </w:r>
      <w:r>
        <w:rPr>
          <w:highlight w:val="none"/>
          <w:u w:val="single"/>
        </w:rPr>
        <w:t>　　　　　　　</w:t>
      </w:r>
    </w:p>
    <w:p w14:paraId="2C7EE174">
      <w:pPr>
        <w:pStyle w:val="15"/>
        <w:ind w:firstLine="480"/>
        <w:jc w:val="left"/>
        <w:rPr>
          <w:highlight w:val="none"/>
        </w:rPr>
      </w:pPr>
      <w:r>
        <w:rPr>
          <w:highlight w:val="none"/>
        </w:rPr>
        <w:t>单位负责人签名或签章：</w:t>
      </w:r>
      <w:r>
        <w:rPr>
          <w:highlight w:val="none"/>
          <w:u w:val="single"/>
        </w:rPr>
        <w:t>　　　　　　　</w:t>
      </w:r>
    </w:p>
    <w:p w14:paraId="27DD2385">
      <w:pPr>
        <w:pStyle w:val="15"/>
        <w:ind w:firstLine="480"/>
        <w:jc w:val="left"/>
        <w:rPr>
          <w:highlight w:val="none"/>
        </w:rPr>
      </w:pPr>
      <w:r>
        <w:rPr>
          <w:highlight w:val="none"/>
        </w:rPr>
        <w:t>日期：　　年　　月　　日</w:t>
      </w:r>
    </w:p>
    <w:p w14:paraId="0475EFA8">
      <w:pPr>
        <w:pStyle w:val="15"/>
        <w:jc w:val="both"/>
        <w:rPr>
          <w:highlight w:val="none"/>
        </w:rPr>
      </w:pPr>
    </w:p>
    <w:p w14:paraId="3E3E090D">
      <w:pPr>
        <w:pStyle w:val="15"/>
        <w:ind w:firstLine="480"/>
        <w:jc w:val="right"/>
        <w:rPr>
          <w:highlight w:val="none"/>
        </w:rPr>
      </w:pPr>
      <w:r>
        <w:rPr>
          <w:highlight w:val="none"/>
        </w:rPr>
        <w:t>接受授权方：</w:t>
      </w:r>
      <w:r>
        <w:rPr>
          <w:highlight w:val="none"/>
          <w:u w:val="single"/>
        </w:rPr>
        <w:t>　　　　　　　</w:t>
      </w:r>
    </w:p>
    <w:p w14:paraId="4B13CFCF">
      <w:pPr>
        <w:pStyle w:val="15"/>
        <w:ind w:firstLine="480"/>
        <w:jc w:val="right"/>
        <w:rPr>
          <w:highlight w:val="none"/>
        </w:rPr>
      </w:pPr>
      <w:r>
        <w:rPr>
          <w:highlight w:val="none"/>
        </w:rPr>
        <w:t>供应商代表签名或签章：</w:t>
      </w:r>
      <w:r>
        <w:rPr>
          <w:highlight w:val="none"/>
          <w:u w:val="single"/>
        </w:rPr>
        <w:t>　　　　　　　</w:t>
      </w:r>
    </w:p>
    <w:p w14:paraId="4C074589">
      <w:pPr>
        <w:pStyle w:val="15"/>
        <w:ind w:firstLine="480"/>
        <w:jc w:val="right"/>
        <w:rPr>
          <w:highlight w:val="none"/>
        </w:rPr>
      </w:pPr>
      <w:r>
        <w:rPr>
          <w:highlight w:val="none"/>
        </w:rPr>
        <w:t>日期：　　年　　月　　日</w:t>
      </w:r>
    </w:p>
    <w:p w14:paraId="5EC85EE0">
      <w:pPr>
        <w:pStyle w:val="15"/>
        <w:jc w:val="both"/>
        <w:rPr>
          <w:highlight w:val="none"/>
        </w:rPr>
      </w:pPr>
      <w:r>
        <w:rPr>
          <w:b/>
          <w:highlight w:val="none"/>
        </w:rPr>
        <w:t xml:space="preserve"> </w:t>
      </w:r>
    </w:p>
    <w:p w14:paraId="1E5D964F">
      <w:pPr>
        <w:pStyle w:val="15"/>
        <w:jc w:val="center"/>
        <w:outlineLvl w:val="2"/>
        <w:rPr>
          <w:highlight w:val="none"/>
        </w:rPr>
      </w:pPr>
      <w:r>
        <w:rPr>
          <w:b/>
          <w:sz w:val="28"/>
          <w:highlight w:val="none"/>
        </w:rPr>
        <w:t>二、供应商基本情况</w:t>
      </w:r>
    </w:p>
    <w:p w14:paraId="45E84567">
      <w:pPr>
        <w:pStyle w:val="15"/>
        <w:jc w:val="center"/>
        <w:rPr>
          <w:highlight w:val="none"/>
        </w:rPr>
      </w:pPr>
      <w:r>
        <w:rPr>
          <w:highlight w:val="none"/>
        </w:rPr>
        <w:t>附件3、供应商基本资质证明材料</w:t>
      </w:r>
    </w:p>
    <w:p w14:paraId="1FE7E16A">
      <w:pPr>
        <w:pStyle w:val="15"/>
        <w:ind w:firstLine="480"/>
        <w:jc w:val="both"/>
        <w:rPr>
          <w:highlight w:val="none"/>
        </w:rPr>
      </w:pPr>
      <w:r>
        <w:rPr>
          <w:highlight w:val="none"/>
        </w:rPr>
        <w:t>注：</w:t>
      </w:r>
    </w:p>
    <w:p w14:paraId="703E2DCC">
      <w:pPr>
        <w:pStyle w:val="15"/>
        <w:ind w:firstLine="480"/>
        <w:jc w:val="both"/>
        <w:rPr>
          <w:highlight w:val="none"/>
        </w:rPr>
      </w:pPr>
      <w:r>
        <w:rPr>
          <w:highlight w:val="none"/>
        </w:rPr>
        <w:t>1、如供应商是企业（包括合伙企业）的，须提供工商部门注册的有效的“企业法人营业执照”或“营业执照”副本复印件；</w:t>
      </w:r>
    </w:p>
    <w:p w14:paraId="72459DA4">
      <w:pPr>
        <w:pStyle w:val="15"/>
        <w:ind w:firstLine="480"/>
        <w:jc w:val="both"/>
        <w:rPr>
          <w:highlight w:val="none"/>
        </w:rPr>
      </w:pPr>
      <w:r>
        <w:rPr>
          <w:highlight w:val="none"/>
        </w:rPr>
        <w:t>2、如供应商是事业单位的，须提供有效的“事业单位法人证书”副本复印件；</w:t>
      </w:r>
    </w:p>
    <w:p w14:paraId="2F5189D2">
      <w:pPr>
        <w:pStyle w:val="15"/>
        <w:ind w:firstLine="480"/>
        <w:jc w:val="both"/>
        <w:rPr>
          <w:highlight w:val="none"/>
        </w:rPr>
      </w:pPr>
      <w:r>
        <w:rPr>
          <w:highlight w:val="none"/>
        </w:rPr>
        <w:t>3、如供应商是非企业专业服务机构的，且涉及国家执行许可证业务的，需提供执业许可证证明文件复印件；</w:t>
      </w:r>
    </w:p>
    <w:p w14:paraId="4059B61B">
      <w:pPr>
        <w:pStyle w:val="15"/>
        <w:ind w:firstLine="480"/>
        <w:jc w:val="both"/>
        <w:rPr>
          <w:highlight w:val="none"/>
        </w:rPr>
      </w:pPr>
      <w:r>
        <w:rPr>
          <w:highlight w:val="none"/>
        </w:rPr>
        <w:t>4、如供应商是自然人的，须提供有效的自然人身份证正反面复印件；</w:t>
      </w:r>
    </w:p>
    <w:p w14:paraId="5FE7125D">
      <w:pPr>
        <w:pStyle w:val="15"/>
        <w:ind w:firstLine="480"/>
        <w:jc w:val="right"/>
        <w:rPr>
          <w:highlight w:val="none"/>
        </w:rPr>
      </w:pPr>
      <w:r>
        <w:rPr>
          <w:highlight w:val="none"/>
        </w:rPr>
        <w:t>供应商代表签名或签章：</w:t>
      </w:r>
      <w:r>
        <w:rPr>
          <w:highlight w:val="none"/>
          <w:u w:val="single"/>
        </w:rPr>
        <w:t>　　　　　　　</w:t>
      </w:r>
    </w:p>
    <w:p w14:paraId="1A36B1B2">
      <w:pPr>
        <w:pStyle w:val="15"/>
        <w:ind w:firstLine="480"/>
        <w:jc w:val="right"/>
        <w:rPr>
          <w:highlight w:val="none"/>
        </w:rPr>
      </w:pPr>
      <w:r>
        <w:rPr>
          <w:highlight w:val="none"/>
        </w:rPr>
        <w:t>供应商（全称并加盖公章）：</w:t>
      </w:r>
      <w:r>
        <w:rPr>
          <w:highlight w:val="none"/>
          <w:u w:val="single"/>
        </w:rPr>
        <w:t>　　　　　　　</w:t>
      </w:r>
    </w:p>
    <w:p w14:paraId="4EC8708B">
      <w:pPr>
        <w:pStyle w:val="15"/>
        <w:ind w:firstLine="480"/>
        <w:jc w:val="right"/>
        <w:rPr>
          <w:highlight w:val="none"/>
        </w:rPr>
      </w:pPr>
      <w:r>
        <w:rPr>
          <w:highlight w:val="none"/>
        </w:rPr>
        <w:t>日期：　　年　　月　　日</w:t>
      </w:r>
    </w:p>
    <w:p w14:paraId="2119575F">
      <w:pPr>
        <w:pStyle w:val="15"/>
        <w:jc w:val="both"/>
        <w:rPr>
          <w:highlight w:val="none"/>
        </w:rPr>
      </w:pPr>
    </w:p>
    <w:p w14:paraId="4AF5DF5E">
      <w:pPr>
        <w:pStyle w:val="15"/>
        <w:jc w:val="both"/>
        <w:rPr>
          <w:highlight w:val="none"/>
        </w:rPr>
      </w:pPr>
      <w:r>
        <w:rPr>
          <w:b/>
          <w:highlight w:val="none"/>
        </w:rPr>
        <w:t xml:space="preserve"> </w:t>
      </w:r>
    </w:p>
    <w:p w14:paraId="6E4D8738">
      <w:pPr>
        <w:pStyle w:val="15"/>
        <w:jc w:val="center"/>
        <w:rPr>
          <w:highlight w:val="none"/>
        </w:rPr>
      </w:pPr>
      <w:r>
        <w:rPr>
          <w:highlight w:val="none"/>
        </w:rPr>
        <w:t>附件4、协商保证金银行汇款凭证复印件</w:t>
      </w:r>
    </w:p>
    <w:p w14:paraId="5CFF1372">
      <w:pPr>
        <w:pStyle w:val="15"/>
        <w:ind w:firstLine="480"/>
        <w:jc w:val="both"/>
        <w:rPr>
          <w:highlight w:val="none"/>
        </w:rPr>
      </w:pPr>
    </w:p>
    <w:p w14:paraId="2E3E0D1C">
      <w:pPr>
        <w:pStyle w:val="15"/>
        <w:ind w:firstLine="480"/>
        <w:jc w:val="right"/>
        <w:rPr>
          <w:highlight w:val="none"/>
        </w:rPr>
      </w:pPr>
    </w:p>
    <w:p w14:paraId="06608FDB">
      <w:pPr>
        <w:pStyle w:val="15"/>
        <w:ind w:firstLine="480"/>
        <w:jc w:val="right"/>
        <w:rPr>
          <w:highlight w:val="none"/>
        </w:rPr>
      </w:pPr>
      <w:r>
        <w:rPr>
          <w:highlight w:val="none"/>
        </w:rPr>
        <w:t>供应商代表签名或签章：</w:t>
      </w:r>
      <w:r>
        <w:rPr>
          <w:highlight w:val="none"/>
          <w:u w:val="single"/>
        </w:rPr>
        <w:t>　　　　　　　</w:t>
      </w:r>
    </w:p>
    <w:p w14:paraId="44A96ACD">
      <w:pPr>
        <w:pStyle w:val="15"/>
        <w:ind w:firstLine="480"/>
        <w:jc w:val="right"/>
        <w:rPr>
          <w:highlight w:val="none"/>
        </w:rPr>
      </w:pPr>
      <w:r>
        <w:rPr>
          <w:highlight w:val="none"/>
        </w:rPr>
        <w:t>供应商（全称并加盖公章）：</w:t>
      </w:r>
      <w:r>
        <w:rPr>
          <w:highlight w:val="none"/>
          <w:u w:val="single"/>
        </w:rPr>
        <w:t>　　　　　　　</w:t>
      </w:r>
    </w:p>
    <w:p w14:paraId="008F68A1">
      <w:pPr>
        <w:pStyle w:val="15"/>
        <w:ind w:firstLine="480"/>
        <w:jc w:val="right"/>
        <w:rPr>
          <w:highlight w:val="none"/>
        </w:rPr>
      </w:pPr>
      <w:r>
        <w:rPr>
          <w:highlight w:val="none"/>
        </w:rPr>
        <w:t>日期：　　年　　月　　日</w:t>
      </w:r>
    </w:p>
    <w:p w14:paraId="6CC0E501">
      <w:pPr>
        <w:pStyle w:val="15"/>
        <w:jc w:val="both"/>
        <w:rPr>
          <w:highlight w:val="none"/>
        </w:rPr>
      </w:pPr>
    </w:p>
    <w:p w14:paraId="10E50407">
      <w:pPr>
        <w:pStyle w:val="15"/>
        <w:jc w:val="both"/>
        <w:rPr>
          <w:highlight w:val="none"/>
        </w:rPr>
      </w:pPr>
      <w:r>
        <w:rPr>
          <w:b/>
          <w:highlight w:val="none"/>
        </w:rPr>
        <w:t xml:space="preserve"> </w:t>
      </w:r>
    </w:p>
    <w:p w14:paraId="42B55AEC">
      <w:pPr>
        <w:pStyle w:val="15"/>
        <w:jc w:val="center"/>
        <w:rPr>
          <w:highlight w:val="none"/>
        </w:rPr>
      </w:pPr>
      <w:r>
        <w:rPr>
          <w:highlight w:val="none"/>
        </w:rPr>
        <w:t>附件5、采购文件要求的供应商其他资料</w:t>
      </w:r>
    </w:p>
    <w:p w14:paraId="3ADB0CFC">
      <w:pPr>
        <w:pStyle w:val="15"/>
        <w:ind w:firstLine="480"/>
        <w:jc w:val="both"/>
        <w:rPr>
          <w:highlight w:val="none"/>
        </w:rPr>
      </w:pPr>
      <w:r>
        <w:rPr>
          <w:highlight w:val="none"/>
        </w:rPr>
        <w:t>注：</w:t>
      </w:r>
    </w:p>
    <w:p w14:paraId="180B06D8">
      <w:pPr>
        <w:pStyle w:val="15"/>
        <w:ind w:firstLine="480"/>
        <w:jc w:val="both"/>
        <w:rPr>
          <w:highlight w:val="none"/>
        </w:rPr>
      </w:pPr>
      <w:r>
        <w:rPr>
          <w:highlight w:val="none"/>
        </w:rPr>
        <w:t>1、在专家论证阶段已审核过供应商资格的，在协商阶段协商小组无须重复审查；但供应商自身资格条件出现变化的须在此作出说明，并补充提供相关材料，由协商小组重新进行审查；</w:t>
      </w:r>
    </w:p>
    <w:p w14:paraId="5AFC93A0">
      <w:pPr>
        <w:pStyle w:val="15"/>
        <w:ind w:firstLine="480"/>
        <w:jc w:val="both"/>
        <w:rPr>
          <w:highlight w:val="none"/>
        </w:rPr>
      </w:pPr>
      <w:r>
        <w:rPr>
          <w:highlight w:val="none"/>
        </w:rPr>
        <w:t>2、采购文件要求的供应商其他资料或供应商认为须提供的自身其它资料。</w:t>
      </w:r>
    </w:p>
    <w:p w14:paraId="4A0BF6B1">
      <w:pPr>
        <w:pStyle w:val="15"/>
        <w:ind w:firstLine="480"/>
        <w:jc w:val="right"/>
        <w:rPr>
          <w:highlight w:val="none"/>
        </w:rPr>
      </w:pPr>
      <w:r>
        <w:rPr>
          <w:highlight w:val="none"/>
        </w:rPr>
        <w:t>供应商代表签名或签章：</w:t>
      </w:r>
      <w:r>
        <w:rPr>
          <w:highlight w:val="none"/>
          <w:u w:val="single"/>
        </w:rPr>
        <w:t>　　　　　　　</w:t>
      </w:r>
    </w:p>
    <w:p w14:paraId="61885576">
      <w:pPr>
        <w:pStyle w:val="15"/>
        <w:ind w:firstLine="480"/>
        <w:jc w:val="right"/>
        <w:rPr>
          <w:highlight w:val="none"/>
        </w:rPr>
      </w:pPr>
      <w:r>
        <w:rPr>
          <w:highlight w:val="none"/>
        </w:rPr>
        <w:t>供应商（全称并加盖公章）：</w:t>
      </w:r>
      <w:r>
        <w:rPr>
          <w:highlight w:val="none"/>
          <w:u w:val="single"/>
        </w:rPr>
        <w:t>　　　　　　　</w:t>
      </w:r>
    </w:p>
    <w:p w14:paraId="54521CE8">
      <w:pPr>
        <w:pStyle w:val="15"/>
        <w:ind w:firstLine="480"/>
        <w:jc w:val="right"/>
        <w:rPr>
          <w:highlight w:val="none"/>
        </w:rPr>
      </w:pPr>
      <w:r>
        <w:rPr>
          <w:highlight w:val="none"/>
        </w:rPr>
        <w:t>日期：　　年　　月　　日</w:t>
      </w:r>
    </w:p>
    <w:p w14:paraId="435B85EA">
      <w:pPr>
        <w:pStyle w:val="15"/>
        <w:jc w:val="both"/>
        <w:rPr>
          <w:highlight w:val="none"/>
        </w:rPr>
      </w:pPr>
    </w:p>
    <w:p w14:paraId="58015735">
      <w:pPr>
        <w:pStyle w:val="15"/>
        <w:jc w:val="both"/>
        <w:rPr>
          <w:highlight w:val="none"/>
        </w:rPr>
      </w:pPr>
      <w:r>
        <w:rPr>
          <w:b/>
          <w:highlight w:val="none"/>
        </w:rPr>
        <w:t xml:space="preserve"> </w:t>
      </w:r>
    </w:p>
    <w:p w14:paraId="7024DF43">
      <w:pPr>
        <w:rPr>
          <w:b/>
          <w:sz w:val="28"/>
          <w:highlight w:val="none"/>
        </w:rPr>
      </w:pPr>
      <w:r>
        <w:rPr>
          <w:b/>
          <w:sz w:val="28"/>
          <w:highlight w:val="none"/>
        </w:rPr>
        <w:br w:type="page"/>
      </w:r>
    </w:p>
    <w:p w14:paraId="6A36D0AF">
      <w:pPr>
        <w:pStyle w:val="15"/>
        <w:jc w:val="center"/>
        <w:outlineLvl w:val="2"/>
        <w:rPr>
          <w:highlight w:val="none"/>
        </w:rPr>
      </w:pPr>
      <w:r>
        <w:rPr>
          <w:b/>
          <w:sz w:val="28"/>
          <w:highlight w:val="none"/>
        </w:rPr>
        <w:t>三、单一来源报价资料</w:t>
      </w:r>
    </w:p>
    <w:p w14:paraId="30F7B27C">
      <w:pPr>
        <w:pStyle w:val="15"/>
        <w:jc w:val="center"/>
        <w:rPr>
          <w:highlight w:val="none"/>
        </w:rPr>
      </w:pPr>
      <w:r>
        <w:rPr>
          <w:highlight w:val="none"/>
        </w:rPr>
        <w:t>附件6、报价一览表</w:t>
      </w:r>
    </w:p>
    <w:p w14:paraId="7E0555EF">
      <w:pPr>
        <w:pStyle w:val="15"/>
        <w:ind w:firstLine="480"/>
        <w:jc w:val="both"/>
        <w:rPr>
          <w:highlight w:val="none"/>
        </w:rPr>
      </w:pPr>
      <w:r>
        <w:rPr>
          <w:highlight w:val="none"/>
        </w:rPr>
        <w:t>供应商名称：</w:t>
      </w:r>
      <w:r>
        <w:rPr>
          <w:highlight w:val="none"/>
          <w:u w:val="single"/>
        </w:rPr>
        <w:t>　　　　　　　　</w:t>
      </w:r>
      <w:r>
        <w:rPr>
          <w:highlight w:val="none"/>
        </w:rPr>
        <w:t>　　项目编号：</w:t>
      </w:r>
      <w:r>
        <w:rPr>
          <w:highlight w:val="none"/>
          <w:u w:val="single"/>
        </w:rPr>
        <w:t>　　　　　　　　</w:t>
      </w:r>
      <w:r>
        <w:rPr>
          <w:highlight w:val="none"/>
        </w:rPr>
        <w:t>　　货币及单位：人民币元</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040ECF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6989B7C">
            <w:pPr>
              <w:pStyle w:val="15"/>
              <w:jc w:val="both"/>
              <w:rPr>
                <w:highlight w:val="none"/>
              </w:rPr>
            </w:pPr>
            <w:r>
              <w:rPr>
                <w:b/>
                <w:highlight w:val="none"/>
              </w:rPr>
              <w:t>采购包</w:t>
            </w:r>
          </w:p>
        </w:tc>
        <w:tc>
          <w:tcPr>
            <w:tcW w:w="1384" w:type="dxa"/>
          </w:tcPr>
          <w:p w14:paraId="772E628F">
            <w:pPr>
              <w:pStyle w:val="15"/>
              <w:jc w:val="both"/>
              <w:rPr>
                <w:highlight w:val="none"/>
              </w:rPr>
            </w:pPr>
            <w:r>
              <w:rPr>
                <w:b/>
                <w:highlight w:val="none"/>
              </w:rPr>
              <w:t>项目名称</w:t>
            </w:r>
          </w:p>
        </w:tc>
        <w:tc>
          <w:tcPr>
            <w:tcW w:w="1384" w:type="dxa"/>
          </w:tcPr>
          <w:p w14:paraId="5194B756">
            <w:pPr>
              <w:pStyle w:val="15"/>
              <w:jc w:val="both"/>
              <w:rPr>
                <w:highlight w:val="none"/>
              </w:rPr>
            </w:pPr>
            <w:r>
              <w:rPr>
                <w:b/>
                <w:highlight w:val="none"/>
              </w:rPr>
              <w:t>数量</w:t>
            </w:r>
          </w:p>
        </w:tc>
        <w:tc>
          <w:tcPr>
            <w:tcW w:w="1384" w:type="dxa"/>
          </w:tcPr>
          <w:p w14:paraId="7E3FD1BA">
            <w:pPr>
              <w:pStyle w:val="15"/>
              <w:jc w:val="both"/>
              <w:rPr>
                <w:highlight w:val="none"/>
              </w:rPr>
            </w:pPr>
            <w:r>
              <w:rPr>
                <w:b/>
                <w:highlight w:val="none"/>
              </w:rPr>
              <w:t>投标总价</w:t>
            </w:r>
          </w:p>
        </w:tc>
        <w:tc>
          <w:tcPr>
            <w:tcW w:w="1384" w:type="dxa"/>
          </w:tcPr>
          <w:p w14:paraId="2C9C3F69">
            <w:pPr>
              <w:pStyle w:val="15"/>
              <w:jc w:val="both"/>
              <w:rPr>
                <w:highlight w:val="none"/>
              </w:rPr>
            </w:pPr>
            <w:r>
              <w:rPr>
                <w:b/>
                <w:highlight w:val="none"/>
              </w:rPr>
              <w:t>协商保证金</w:t>
            </w:r>
          </w:p>
        </w:tc>
        <w:tc>
          <w:tcPr>
            <w:tcW w:w="1384" w:type="dxa"/>
          </w:tcPr>
          <w:p w14:paraId="0F419B35">
            <w:pPr>
              <w:pStyle w:val="15"/>
              <w:jc w:val="both"/>
              <w:rPr>
                <w:highlight w:val="none"/>
              </w:rPr>
            </w:pPr>
            <w:r>
              <w:rPr>
                <w:b/>
                <w:highlight w:val="none"/>
              </w:rPr>
              <w:t>备注</w:t>
            </w:r>
          </w:p>
        </w:tc>
      </w:tr>
      <w:tr w14:paraId="35E1CB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56A1D2F">
            <w:pPr>
              <w:rPr>
                <w:highlight w:val="none"/>
              </w:rPr>
            </w:pPr>
          </w:p>
        </w:tc>
        <w:tc>
          <w:tcPr>
            <w:tcW w:w="1384" w:type="dxa"/>
          </w:tcPr>
          <w:p w14:paraId="3E925AED">
            <w:pPr>
              <w:rPr>
                <w:highlight w:val="none"/>
              </w:rPr>
            </w:pPr>
          </w:p>
        </w:tc>
        <w:tc>
          <w:tcPr>
            <w:tcW w:w="1384" w:type="dxa"/>
          </w:tcPr>
          <w:p w14:paraId="72243CF6">
            <w:pPr>
              <w:rPr>
                <w:highlight w:val="none"/>
              </w:rPr>
            </w:pPr>
          </w:p>
        </w:tc>
        <w:tc>
          <w:tcPr>
            <w:tcW w:w="1384" w:type="dxa"/>
          </w:tcPr>
          <w:p w14:paraId="7ACA9363">
            <w:pPr>
              <w:pStyle w:val="15"/>
              <w:jc w:val="both"/>
              <w:rPr>
                <w:highlight w:val="none"/>
              </w:rPr>
            </w:pPr>
            <w:r>
              <w:rPr>
                <w:b/>
                <w:highlight w:val="none"/>
              </w:rPr>
              <w:t>大写：人民币</w:t>
            </w:r>
            <w:r>
              <w:rPr>
                <w:b/>
                <w:highlight w:val="none"/>
                <w:u w:val="single"/>
              </w:rPr>
              <w:t>　　　　　　　　</w:t>
            </w:r>
            <w:r>
              <w:rPr>
                <w:b/>
                <w:highlight w:val="none"/>
              </w:rPr>
              <w:t>元整</w:t>
            </w:r>
          </w:p>
          <w:p w14:paraId="428F9AD0">
            <w:pPr>
              <w:pStyle w:val="15"/>
              <w:jc w:val="both"/>
              <w:rPr>
                <w:highlight w:val="none"/>
              </w:rPr>
            </w:pPr>
            <w:r>
              <w:rPr>
                <w:b/>
                <w:highlight w:val="none"/>
              </w:rPr>
              <w:t>小写：人民币</w:t>
            </w:r>
            <w:r>
              <w:rPr>
                <w:b/>
                <w:highlight w:val="none"/>
                <w:u w:val="single"/>
              </w:rPr>
              <w:t>　　　　　　　　</w:t>
            </w:r>
            <w:r>
              <w:rPr>
                <w:b/>
                <w:highlight w:val="none"/>
              </w:rPr>
              <w:t>元整</w:t>
            </w:r>
          </w:p>
        </w:tc>
        <w:tc>
          <w:tcPr>
            <w:tcW w:w="1384" w:type="dxa"/>
          </w:tcPr>
          <w:p w14:paraId="25731BB8">
            <w:pPr>
              <w:rPr>
                <w:highlight w:val="none"/>
              </w:rPr>
            </w:pPr>
          </w:p>
        </w:tc>
        <w:tc>
          <w:tcPr>
            <w:tcW w:w="1384" w:type="dxa"/>
          </w:tcPr>
          <w:p w14:paraId="0620E2D8">
            <w:pPr>
              <w:rPr>
                <w:highlight w:val="none"/>
              </w:rPr>
            </w:pPr>
          </w:p>
        </w:tc>
      </w:tr>
      <w:tr w14:paraId="7E0C5A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0623125">
            <w:pPr>
              <w:rPr>
                <w:highlight w:val="none"/>
              </w:rPr>
            </w:pPr>
          </w:p>
        </w:tc>
        <w:tc>
          <w:tcPr>
            <w:tcW w:w="1384" w:type="dxa"/>
          </w:tcPr>
          <w:p w14:paraId="51752272">
            <w:pPr>
              <w:rPr>
                <w:highlight w:val="none"/>
              </w:rPr>
            </w:pPr>
          </w:p>
        </w:tc>
        <w:tc>
          <w:tcPr>
            <w:tcW w:w="1384" w:type="dxa"/>
          </w:tcPr>
          <w:p w14:paraId="3F0D47ED">
            <w:pPr>
              <w:rPr>
                <w:highlight w:val="none"/>
              </w:rPr>
            </w:pPr>
          </w:p>
        </w:tc>
        <w:tc>
          <w:tcPr>
            <w:tcW w:w="1384" w:type="dxa"/>
          </w:tcPr>
          <w:p w14:paraId="78418EE3">
            <w:pPr>
              <w:pStyle w:val="15"/>
              <w:jc w:val="both"/>
              <w:rPr>
                <w:highlight w:val="none"/>
              </w:rPr>
            </w:pPr>
            <w:r>
              <w:rPr>
                <w:b/>
                <w:highlight w:val="none"/>
              </w:rPr>
              <w:t>大写：人民币</w:t>
            </w:r>
            <w:r>
              <w:rPr>
                <w:b/>
                <w:highlight w:val="none"/>
                <w:u w:val="single"/>
              </w:rPr>
              <w:t>　　　　　　　　</w:t>
            </w:r>
            <w:r>
              <w:rPr>
                <w:b/>
                <w:highlight w:val="none"/>
              </w:rPr>
              <w:t>元整</w:t>
            </w:r>
          </w:p>
          <w:p w14:paraId="4E4F65F9">
            <w:pPr>
              <w:pStyle w:val="15"/>
              <w:jc w:val="both"/>
              <w:rPr>
                <w:highlight w:val="none"/>
              </w:rPr>
            </w:pPr>
            <w:r>
              <w:rPr>
                <w:b/>
                <w:highlight w:val="none"/>
              </w:rPr>
              <w:t>小写：人民币</w:t>
            </w:r>
            <w:r>
              <w:rPr>
                <w:b/>
                <w:highlight w:val="none"/>
                <w:u w:val="single"/>
              </w:rPr>
              <w:t>　　　　　　　　</w:t>
            </w:r>
            <w:r>
              <w:rPr>
                <w:b/>
                <w:highlight w:val="none"/>
              </w:rPr>
              <w:t>元整</w:t>
            </w:r>
          </w:p>
        </w:tc>
        <w:tc>
          <w:tcPr>
            <w:tcW w:w="1384" w:type="dxa"/>
          </w:tcPr>
          <w:p w14:paraId="69C7EBEF">
            <w:pPr>
              <w:rPr>
                <w:highlight w:val="none"/>
              </w:rPr>
            </w:pPr>
          </w:p>
        </w:tc>
        <w:tc>
          <w:tcPr>
            <w:tcW w:w="1384" w:type="dxa"/>
          </w:tcPr>
          <w:p w14:paraId="62AA43D8">
            <w:pPr>
              <w:rPr>
                <w:highlight w:val="none"/>
              </w:rPr>
            </w:pPr>
          </w:p>
        </w:tc>
      </w:tr>
    </w:tbl>
    <w:p w14:paraId="51BFBAD9">
      <w:pPr>
        <w:pStyle w:val="15"/>
        <w:ind w:firstLine="480"/>
        <w:jc w:val="both"/>
        <w:rPr>
          <w:highlight w:val="none"/>
        </w:rPr>
      </w:pPr>
      <w:r>
        <w:rPr>
          <w:highlight w:val="none"/>
        </w:rPr>
        <w:t>注：1、若有详细报价清单应另纸详列，且标明所报各种标的的数量、品牌、金额等。</w:t>
      </w:r>
    </w:p>
    <w:p w14:paraId="17B692C1">
      <w:pPr>
        <w:pStyle w:val="15"/>
        <w:ind w:firstLine="480"/>
        <w:jc w:val="both"/>
        <w:rPr>
          <w:highlight w:val="none"/>
        </w:rPr>
      </w:pPr>
      <w:r>
        <w:rPr>
          <w:highlight w:val="none"/>
        </w:rPr>
        <w:t>2、首次报价和协商后最终报价均可使用本表，在“备注”中注明清楚即可。</w:t>
      </w:r>
    </w:p>
    <w:p w14:paraId="336343BA">
      <w:pPr>
        <w:pStyle w:val="15"/>
        <w:ind w:firstLine="480"/>
        <w:jc w:val="right"/>
        <w:rPr>
          <w:highlight w:val="none"/>
        </w:rPr>
      </w:pPr>
      <w:r>
        <w:rPr>
          <w:highlight w:val="none"/>
        </w:rPr>
        <w:t>供应商代表签名或签章：</w:t>
      </w:r>
      <w:r>
        <w:rPr>
          <w:highlight w:val="none"/>
          <w:u w:val="single"/>
        </w:rPr>
        <w:t>　　　　　　　</w:t>
      </w:r>
    </w:p>
    <w:p w14:paraId="1EF6E7BA">
      <w:pPr>
        <w:pStyle w:val="15"/>
        <w:ind w:firstLine="480"/>
        <w:jc w:val="right"/>
        <w:rPr>
          <w:highlight w:val="none"/>
        </w:rPr>
      </w:pPr>
      <w:r>
        <w:rPr>
          <w:highlight w:val="none"/>
        </w:rPr>
        <w:t>供应商（全称并加盖公章）：</w:t>
      </w:r>
      <w:r>
        <w:rPr>
          <w:highlight w:val="none"/>
          <w:u w:val="single"/>
        </w:rPr>
        <w:t>　　　　　　　</w:t>
      </w:r>
    </w:p>
    <w:p w14:paraId="24BCB7A4">
      <w:pPr>
        <w:pStyle w:val="15"/>
        <w:ind w:firstLine="480"/>
        <w:jc w:val="right"/>
        <w:rPr>
          <w:highlight w:val="none"/>
        </w:rPr>
      </w:pPr>
      <w:r>
        <w:rPr>
          <w:highlight w:val="none"/>
        </w:rPr>
        <w:t>日期：　　年　　月　　日</w:t>
      </w:r>
    </w:p>
    <w:p w14:paraId="21B3B9F7">
      <w:pPr>
        <w:pStyle w:val="15"/>
        <w:jc w:val="both"/>
        <w:rPr>
          <w:highlight w:val="none"/>
        </w:rPr>
      </w:pPr>
    </w:p>
    <w:p w14:paraId="21B559F9">
      <w:pPr>
        <w:pStyle w:val="15"/>
        <w:jc w:val="both"/>
        <w:rPr>
          <w:highlight w:val="none"/>
        </w:rPr>
      </w:pPr>
      <w:r>
        <w:rPr>
          <w:b/>
          <w:highlight w:val="none"/>
        </w:rPr>
        <w:t xml:space="preserve"> </w:t>
      </w:r>
    </w:p>
    <w:p w14:paraId="1632BE83">
      <w:pPr>
        <w:pStyle w:val="15"/>
        <w:jc w:val="center"/>
        <w:rPr>
          <w:highlight w:val="none"/>
        </w:rPr>
      </w:pPr>
      <w:r>
        <w:rPr>
          <w:highlight w:val="none"/>
        </w:rPr>
        <w:t>附件7、采购标的成本说明(格式自定)</w:t>
      </w:r>
    </w:p>
    <w:p w14:paraId="55993944">
      <w:pPr>
        <w:pStyle w:val="15"/>
        <w:jc w:val="both"/>
        <w:rPr>
          <w:highlight w:val="none"/>
        </w:rPr>
      </w:pPr>
    </w:p>
    <w:p w14:paraId="0A37CF2F">
      <w:pPr>
        <w:pStyle w:val="15"/>
        <w:jc w:val="both"/>
        <w:rPr>
          <w:highlight w:val="none"/>
        </w:rPr>
      </w:pPr>
      <w:r>
        <w:rPr>
          <w:b/>
          <w:highlight w:val="none"/>
        </w:rPr>
        <w:t xml:space="preserve"> </w:t>
      </w:r>
    </w:p>
    <w:p w14:paraId="02CA51EE">
      <w:pPr>
        <w:pStyle w:val="15"/>
        <w:jc w:val="center"/>
        <w:rPr>
          <w:highlight w:val="none"/>
        </w:rPr>
      </w:pPr>
      <w:r>
        <w:rPr>
          <w:highlight w:val="none"/>
        </w:rPr>
        <w:t>附件8、同类项目合同价格说明(格式自定)</w:t>
      </w:r>
    </w:p>
    <w:p w14:paraId="1CF33489">
      <w:pPr>
        <w:pStyle w:val="15"/>
        <w:jc w:val="both"/>
        <w:rPr>
          <w:highlight w:val="none"/>
        </w:rPr>
      </w:pPr>
    </w:p>
    <w:p w14:paraId="544C6C6B">
      <w:pPr>
        <w:pStyle w:val="15"/>
        <w:jc w:val="both"/>
        <w:rPr>
          <w:highlight w:val="none"/>
        </w:rPr>
      </w:pPr>
      <w:r>
        <w:rPr>
          <w:b/>
          <w:highlight w:val="none"/>
        </w:rPr>
        <w:t xml:space="preserve"> </w:t>
      </w:r>
    </w:p>
    <w:p w14:paraId="56282494">
      <w:pPr>
        <w:pStyle w:val="15"/>
        <w:jc w:val="center"/>
        <w:rPr>
          <w:highlight w:val="none"/>
        </w:rPr>
      </w:pPr>
      <w:r>
        <w:rPr>
          <w:highlight w:val="none"/>
        </w:rPr>
        <w:t>附件9、供应商相关专利、专有技术情况说明(格式自定)</w:t>
      </w:r>
    </w:p>
    <w:p w14:paraId="0C7E31BB">
      <w:pPr>
        <w:pStyle w:val="15"/>
        <w:jc w:val="both"/>
        <w:rPr>
          <w:highlight w:val="none"/>
        </w:rPr>
      </w:pPr>
    </w:p>
    <w:p w14:paraId="0FDDFF1A">
      <w:pPr>
        <w:pStyle w:val="15"/>
        <w:jc w:val="both"/>
        <w:rPr>
          <w:highlight w:val="none"/>
        </w:rPr>
      </w:pPr>
      <w:r>
        <w:rPr>
          <w:b/>
          <w:highlight w:val="none"/>
        </w:rPr>
        <w:t xml:space="preserve"> </w:t>
      </w:r>
    </w:p>
    <w:p w14:paraId="3BE4FF77">
      <w:pPr>
        <w:rPr>
          <w:b/>
          <w:sz w:val="28"/>
          <w:highlight w:val="none"/>
        </w:rPr>
      </w:pPr>
      <w:r>
        <w:rPr>
          <w:b/>
          <w:sz w:val="28"/>
          <w:highlight w:val="none"/>
        </w:rPr>
        <w:br w:type="page"/>
      </w:r>
    </w:p>
    <w:p w14:paraId="55EC7702">
      <w:pPr>
        <w:pStyle w:val="15"/>
        <w:jc w:val="center"/>
        <w:outlineLvl w:val="2"/>
        <w:rPr>
          <w:highlight w:val="none"/>
        </w:rPr>
      </w:pPr>
      <w:r>
        <w:rPr>
          <w:b/>
          <w:sz w:val="28"/>
          <w:highlight w:val="none"/>
        </w:rPr>
        <w:t>四、技术商务条款响应情况</w:t>
      </w:r>
    </w:p>
    <w:p w14:paraId="56FA09C9">
      <w:pPr>
        <w:pStyle w:val="15"/>
        <w:jc w:val="center"/>
        <w:rPr>
          <w:highlight w:val="none"/>
        </w:rPr>
      </w:pPr>
      <w:r>
        <w:rPr>
          <w:b/>
          <w:highlight w:val="none"/>
        </w:rPr>
        <w:t>附件10、标的说明或技术方案或服务方案</w:t>
      </w:r>
    </w:p>
    <w:p w14:paraId="2A862857">
      <w:pPr>
        <w:pStyle w:val="15"/>
        <w:jc w:val="left"/>
        <w:rPr>
          <w:highlight w:val="none"/>
        </w:rPr>
      </w:pPr>
      <w:r>
        <w:rPr>
          <w:highlight w:val="none"/>
        </w:rPr>
        <w:t>附件10.1、标的说明一览表格式如下：</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52"/>
        <w:gridCol w:w="1216"/>
        <w:gridCol w:w="1384"/>
        <w:gridCol w:w="1384"/>
        <w:gridCol w:w="1384"/>
        <w:gridCol w:w="1384"/>
      </w:tblGrid>
      <w:tr w14:paraId="34C58F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2" w:type="dxa"/>
          </w:tcPr>
          <w:p w14:paraId="54F31909">
            <w:pPr>
              <w:pStyle w:val="15"/>
              <w:jc w:val="both"/>
              <w:rPr>
                <w:highlight w:val="none"/>
              </w:rPr>
            </w:pPr>
            <w:r>
              <w:rPr>
                <w:b/>
                <w:highlight w:val="none"/>
              </w:rPr>
              <w:t>采购包</w:t>
            </w:r>
          </w:p>
        </w:tc>
        <w:tc>
          <w:tcPr>
            <w:tcW w:w="1216" w:type="dxa"/>
          </w:tcPr>
          <w:p w14:paraId="2AF768AC">
            <w:pPr>
              <w:rPr>
                <w:highlight w:val="none"/>
              </w:rPr>
            </w:pPr>
          </w:p>
        </w:tc>
        <w:tc>
          <w:tcPr>
            <w:tcW w:w="1384" w:type="dxa"/>
          </w:tcPr>
          <w:p w14:paraId="16BBBA6A">
            <w:pPr>
              <w:pStyle w:val="15"/>
              <w:jc w:val="both"/>
              <w:rPr>
                <w:highlight w:val="none"/>
              </w:rPr>
            </w:pPr>
            <w:r>
              <w:rPr>
                <w:b/>
                <w:highlight w:val="none"/>
              </w:rPr>
              <w:t>标的名称</w:t>
            </w:r>
          </w:p>
        </w:tc>
        <w:tc>
          <w:tcPr>
            <w:tcW w:w="1384" w:type="dxa"/>
          </w:tcPr>
          <w:p w14:paraId="4AEA57E0">
            <w:pPr>
              <w:rPr>
                <w:highlight w:val="none"/>
              </w:rPr>
            </w:pPr>
          </w:p>
        </w:tc>
        <w:tc>
          <w:tcPr>
            <w:tcW w:w="1384" w:type="dxa"/>
          </w:tcPr>
          <w:p w14:paraId="579FD320">
            <w:pPr>
              <w:pStyle w:val="15"/>
              <w:jc w:val="both"/>
              <w:rPr>
                <w:highlight w:val="none"/>
              </w:rPr>
            </w:pPr>
            <w:r>
              <w:rPr>
                <w:b/>
                <w:highlight w:val="none"/>
              </w:rPr>
              <w:t>数量</w:t>
            </w:r>
          </w:p>
        </w:tc>
        <w:tc>
          <w:tcPr>
            <w:tcW w:w="1384" w:type="dxa"/>
          </w:tcPr>
          <w:p w14:paraId="3D3B542A">
            <w:pPr>
              <w:rPr>
                <w:highlight w:val="none"/>
              </w:rPr>
            </w:pPr>
          </w:p>
        </w:tc>
      </w:tr>
      <w:tr w14:paraId="0306CA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2" w:type="dxa"/>
          </w:tcPr>
          <w:p w14:paraId="6A62EE85">
            <w:pPr>
              <w:pStyle w:val="15"/>
              <w:jc w:val="both"/>
              <w:rPr>
                <w:highlight w:val="none"/>
              </w:rPr>
            </w:pPr>
            <w:r>
              <w:rPr>
                <w:b/>
                <w:highlight w:val="none"/>
              </w:rPr>
              <w:t>原产地及制造商/服务商名称</w:t>
            </w:r>
          </w:p>
        </w:tc>
        <w:tc>
          <w:tcPr>
            <w:tcW w:w="1216" w:type="dxa"/>
          </w:tcPr>
          <w:p w14:paraId="546A114E">
            <w:pPr>
              <w:rPr>
                <w:highlight w:val="none"/>
              </w:rPr>
            </w:pPr>
          </w:p>
        </w:tc>
        <w:tc>
          <w:tcPr>
            <w:tcW w:w="1384" w:type="dxa"/>
          </w:tcPr>
          <w:p w14:paraId="7847E8C1">
            <w:pPr>
              <w:pStyle w:val="15"/>
              <w:jc w:val="both"/>
              <w:rPr>
                <w:highlight w:val="none"/>
              </w:rPr>
            </w:pPr>
            <w:r>
              <w:rPr>
                <w:b/>
                <w:highlight w:val="none"/>
              </w:rPr>
              <w:t>型号规格</w:t>
            </w:r>
          </w:p>
        </w:tc>
        <w:tc>
          <w:tcPr>
            <w:tcW w:w="1384" w:type="dxa"/>
          </w:tcPr>
          <w:p w14:paraId="02E58CBA">
            <w:pPr>
              <w:rPr>
                <w:highlight w:val="none"/>
              </w:rPr>
            </w:pPr>
          </w:p>
        </w:tc>
        <w:tc>
          <w:tcPr>
            <w:tcW w:w="1384" w:type="dxa"/>
          </w:tcPr>
          <w:p w14:paraId="7971BD62">
            <w:pPr>
              <w:pStyle w:val="15"/>
              <w:jc w:val="both"/>
              <w:rPr>
                <w:highlight w:val="none"/>
              </w:rPr>
            </w:pPr>
            <w:r>
              <w:rPr>
                <w:b/>
                <w:highlight w:val="none"/>
              </w:rPr>
              <w:t>品牌</w:t>
            </w:r>
          </w:p>
        </w:tc>
        <w:tc>
          <w:tcPr>
            <w:tcW w:w="1384" w:type="dxa"/>
          </w:tcPr>
          <w:p w14:paraId="5F99236D">
            <w:pPr>
              <w:rPr>
                <w:highlight w:val="none"/>
              </w:rPr>
            </w:pPr>
          </w:p>
        </w:tc>
      </w:tr>
      <w:tr w14:paraId="30868F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2" w:type="dxa"/>
          </w:tcPr>
          <w:p w14:paraId="024A17CA">
            <w:pPr>
              <w:pStyle w:val="15"/>
              <w:jc w:val="both"/>
              <w:rPr>
                <w:highlight w:val="none"/>
              </w:rPr>
            </w:pPr>
            <w:r>
              <w:rPr>
                <w:b/>
                <w:highlight w:val="none"/>
              </w:rPr>
              <w:t>详细性能说明</w:t>
            </w:r>
          </w:p>
        </w:tc>
        <w:tc>
          <w:tcPr>
            <w:tcW w:w="6752" w:type="dxa"/>
            <w:gridSpan w:val="5"/>
          </w:tcPr>
          <w:p w14:paraId="7EFF18CC">
            <w:pPr>
              <w:rPr>
                <w:highlight w:val="none"/>
              </w:rPr>
            </w:pPr>
          </w:p>
        </w:tc>
      </w:tr>
      <w:tr w14:paraId="45C9BB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2" w:type="dxa"/>
          </w:tcPr>
          <w:p w14:paraId="4427CA1D">
            <w:pPr>
              <w:pStyle w:val="15"/>
              <w:jc w:val="both"/>
              <w:rPr>
                <w:highlight w:val="none"/>
              </w:rPr>
            </w:pPr>
            <w:r>
              <w:rPr>
                <w:b/>
                <w:highlight w:val="none"/>
              </w:rPr>
              <w:t>配置/组成清单说明（若有）</w:t>
            </w:r>
          </w:p>
        </w:tc>
        <w:tc>
          <w:tcPr>
            <w:tcW w:w="6752" w:type="dxa"/>
            <w:gridSpan w:val="5"/>
          </w:tcPr>
          <w:p w14:paraId="09BDD1ED">
            <w:pPr>
              <w:rPr>
                <w:highlight w:val="none"/>
              </w:rPr>
            </w:pPr>
          </w:p>
        </w:tc>
      </w:tr>
    </w:tbl>
    <w:p w14:paraId="3711703E">
      <w:pPr>
        <w:pStyle w:val="15"/>
        <w:jc w:val="left"/>
        <w:rPr>
          <w:highlight w:val="none"/>
        </w:rPr>
      </w:pPr>
      <w:r>
        <w:rPr>
          <w:b/>
          <w:highlight w:val="none"/>
        </w:rPr>
        <w:t>附件10.2、技术方案或服务方案。（根据项目需求自拟格式）</w:t>
      </w:r>
    </w:p>
    <w:p w14:paraId="28A53A49">
      <w:pPr>
        <w:pStyle w:val="15"/>
        <w:jc w:val="left"/>
        <w:rPr>
          <w:highlight w:val="none"/>
        </w:rPr>
      </w:pPr>
      <w:r>
        <w:rPr>
          <w:highlight w:val="none"/>
        </w:rPr>
        <w:t>备注：采购方根据项目采购需求要求供应商提供相关的方案或其他相关材料。</w:t>
      </w:r>
    </w:p>
    <w:p w14:paraId="0F7BF9BD">
      <w:pPr>
        <w:pStyle w:val="15"/>
        <w:ind w:firstLine="480"/>
        <w:jc w:val="right"/>
        <w:rPr>
          <w:highlight w:val="none"/>
        </w:rPr>
      </w:pPr>
      <w:r>
        <w:rPr>
          <w:highlight w:val="none"/>
        </w:rPr>
        <w:t>供应商代表签名或签章：</w:t>
      </w:r>
      <w:r>
        <w:rPr>
          <w:highlight w:val="none"/>
          <w:u w:val="single"/>
        </w:rPr>
        <w:t>　　　　　　　</w:t>
      </w:r>
    </w:p>
    <w:p w14:paraId="2C65572C">
      <w:pPr>
        <w:pStyle w:val="15"/>
        <w:ind w:firstLine="480"/>
        <w:jc w:val="right"/>
        <w:rPr>
          <w:highlight w:val="none"/>
        </w:rPr>
      </w:pPr>
      <w:r>
        <w:rPr>
          <w:highlight w:val="none"/>
        </w:rPr>
        <w:t>供应商（全称并加盖公章）：</w:t>
      </w:r>
      <w:r>
        <w:rPr>
          <w:highlight w:val="none"/>
          <w:u w:val="single"/>
        </w:rPr>
        <w:t>　　　　　　　</w:t>
      </w:r>
    </w:p>
    <w:p w14:paraId="2B0C0E84">
      <w:pPr>
        <w:pStyle w:val="15"/>
        <w:ind w:firstLine="480"/>
        <w:jc w:val="right"/>
        <w:rPr>
          <w:highlight w:val="none"/>
        </w:rPr>
      </w:pPr>
      <w:r>
        <w:rPr>
          <w:highlight w:val="none"/>
        </w:rPr>
        <w:t>日期：　　年　　月　　日</w:t>
      </w:r>
    </w:p>
    <w:p w14:paraId="652B681F">
      <w:pPr>
        <w:pStyle w:val="15"/>
        <w:jc w:val="both"/>
        <w:rPr>
          <w:highlight w:val="none"/>
        </w:rPr>
      </w:pPr>
      <w:r>
        <w:rPr>
          <w:b/>
          <w:highlight w:val="none"/>
        </w:rPr>
        <w:t xml:space="preserve"> </w:t>
      </w:r>
    </w:p>
    <w:p w14:paraId="6A38757D">
      <w:pPr>
        <w:pStyle w:val="15"/>
        <w:jc w:val="center"/>
        <w:rPr>
          <w:highlight w:val="none"/>
        </w:rPr>
      </w:pPr>
      <w:r>
        <w:rPr>
          <w:highlight w:val="none"/>
        </w:rPr>
        <w:t>附件11、协商内容及要求响应表</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7C8562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81C6EB5">
            <w:pPr>
              <w:pStyle w:val="15"/>
              <w:jc w:val="both"/>
              <w:rPr>
                <w:highlight w:val="none"/>
              </w:rPr>
            </w:pPr>
            <w:r>
              <w:rPr>
                <w:b/>
                <w:highlight w:val="none"/>
              </w:rPr>
              <w:t>采购包/品目号</w:t>
            </w:r>
          </w:p>
        </w:tc>
        <w:tc>
          <w:tcPr>
            <w:tcW w:w="1384" w:type="dxa"/>
          </w:tcPr>
          <w:p w14:paraId="2BDF4F3D">
            <w:pPr>
              <w:pStyle w:val="15"/>
              <w:jc w:val="both"/>
              <w:rPr>
                <w:highlight w:val="none"/>
              </w:rPr>
            </w:pPr>
            <w:r>
              <w:rPr>
                <w:b/>
                <w:highlight w:val="none"/>
              </w:rPr>
              <w:t>品目名称</w:t>
            </w:r>
          </w:p>
        </w:tc>
        <w:tc>
          <w:tcPr>
            <w:tcW w:w="1384" w:type="dxa"/>
          </w:tcPr>
          <w:p w14:paraId="4D752F97">
            <w:pPr>
              <w:pStyle w:val="15"/>
              <w:jc w:val="both"/>
              <w:rPr>
                <w:highlight w:val="none"/>
              </w:rPr>
            </w:pPr>
            <w:r>
              <w:rPr>
                <w:b/>
                <w:highlight w:val="none"/>
              </w:rPr>
              <w:t>采购文件协商内容及要求</w:t>
            </w:r>
          </w:p>
        </w:tc>
        <w:tc>
          <w:tcPr>
            <w:tcW w:w="1384" w:type="dxa"/>
          </w:tcPr>
          <w:p w14:paraId="34564A2B">
            <w:pPr>
              <w:pStyle w:val="15"/>
              <w:jc w:val="both"/>
              <w:rPr>
                <w:highlight w:val="none"/>
              </w:rPr>
            </w:pPr>
            <w:r>
              <w:rPr>
                <w:b/>
                <w:highlight w:val="none"/>
              </w:rPr>
              <w:t>响应情况</w:t>
            </w:r>
          </w:p>
        </w:tc>
        <w:tc>
          <w:tcPr>
            <w:tcW w:w="1384" w:type="dxa"/>
          </w:tcPr>
          <w:p w14:paraId="5991139E">
            <w:pPr>
              <w:pStyle w:val="15"/>
              <w:jc w:val="both"/>
              <w:rPr>
                <w:highlight w:val="none"/>
              </w:rPr>
            </w:pPr>
            <w:r>
              <w:rPr>
                <w:b/>
                <w:highlight w:val="none"/>
              </w:rPr>
              <w:t>偏离说明</w:t>
            </w:r>
          </w:p>
        </w:tc>
        <w:tc>
          <w:tcPr>
            <w:tcW w:w="1384" w:type="dxa"/>
          </w:tcPr>
          <w:p w14:paraId="706F35E5">
            <w:pPr>
              <w:pStyle w:val="15"/>
              <w:jc w:val="both"/>
              <w:rPr>
                <w:highlight w:val="none"/>
              </w:rPr>
            </w:pPr>
            <w:r>
              <w:rPr>
                <w:b/>
                <w:highlight w:val="none"/>
              </w:rPr>
              <w:t>证明材料所在页码（若有）</w:t>
            </w:r>
          </w:p>
        </w:tc>
      </w:tr>
      <w:tr w14:paraId="46A53E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DB7178A">
            <w:pPr>
              <w:rPr>
                <w:highlight w:val="none"/>
              </w:rPr>
            </w:pPr>
          </w:p>
        </w:tc>
        <w:tc>
          <w:tcPr>
            <w:tcW w:w="1384" w:type="dxa"/>
          </w:tcPr>
          <w:p w14:paraId="5F57452D">
            <w:pPr>
              <w:rPr>
                <w:highlight w:val="none"/>
              </w:rPr>
            </w:pPr>
          </w:p>
        </w:tc>
        <w:tc>
          <w:tcPr>
            <w:tcW w:w="1384" w:type="dxa"/>
          </w:tcPr>
          <w:p w14:paraId="4DA63163">
            <w:pPr>
              <w:rPr>
                <w:highlight w:val="none"/>
              </w:rPr>
            </w:pPr>
          </w:p>
        </w:tc>
        <w:tc>
          <w:tcPr>
            <w:tcW w:w="1384" w:type="dxa"/>
          </w:tcPr>
          <w:p w14:paraId="18422D34">
            <w:pPr>
              <w:rPr>
                <w:highlight w:val="none"/>
              </w:rPr>
            </w:pPr>
          </w:p>
        </w:tc>
        <w:tc>
          <w:tcPr>
            <w:tcW w:w="1384" w:type="dxa"/>
          </w:tcPr>
          <w:p w14:paraId="2CBE96A3">
            <w:pPr>
              <w:rPr>
                <w:highlight w:val="none"/>
              </w:rPr>
            </w:pPr>
          </w:p>
        </w:tc>
        <w:tc>
          <w:tcPr>
            <w:tcW w:w="1384" w:type="dxa"/>
          </w:tcPr>
          <w:p w14:paraId="402ED2BF">
            <w:pPr>
              <w:rPr>
                <w:highlight w:val="none"/>
              </w:rPr>
            </w:pPr>
          </w:p>
        </w:tc>
      </w:tr>
      <w:tr w14:paraId="7A5322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14B284C">
            <w:pPr>
              <w:rPr>
                <w:highlight w:val="none"/>
              </w:rPr>
            </w:pPr>
          </w:p>
        </w:tc>
        <w:tc>
          <w:tcPr>
            <w:tcW w:w="1384" w:type="dxa"/>
          </w:tcPr>
          <w:p w14:paraId="3062F5DF">
            <w:pPr>
              <w:rPr>
                <w:highlight w:val="none"/>
              </w:rPr>
            </w:pPr>
          </w:p>
        </w:tc>
        <w:tc>
          <w:tcPr>
            <w:tcW w:w="1384" w:type="dxa"/>
          </w:tcPr>
          <w:p w14:paraId="2521F769">
            <w:pPr>
              <w:rPr>
                <w:highlight w:val="none"/>
              </w:rPr>
            </w:pPr>
          </w:p>
        </w:tc>
        <w:tc>
          <w:tcPr>
            <w:tcW w:w="1384" w:type="dxa"/>
          </w:tcPr>
          <w:p w14:paraId="3119A7C0">
            <w:pPr>
              <w:rPr>
                <w:highlight w:val="none"/>
              </w:rPr>
            </w:pPr>
          </w:p>
        </w:tc>
        <w:tc>
          <w:tcPr>
            <w:tcW w:w="1384" w:type="dxa"/>
          </w:tcPr>
          <w:p w14:paraId="0CF16A39">
            <w:pPr>
              <w:rPr>
                <w:highlight w:val="none"/>
              </w:rPr>
            </w:pPr>
          </w:p>
        </w:tc>
        <w:tc>
          <w:tcPr>
            <w:tcW w:w="1384" w:type="dxa"/>
          </w:tcPr>
          <w:p w14:paraId="69272E07">
            <w:pPr>
              <w:rPr>
                <w:highlight w:val="none"/>
              </w:rPr>
            </w:pPr>
          </w:p>
        </w:tc>
      </w:tr>
      <w:tr w14:paraId="5973C5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CB6DDE6">
            <w:pPr>
              <w:rPr>
                <w:highlight w:val="none"/>
              </w:rPr>
            </w:pPr>
          </w:p>
        </w:tc>
        <w:tc>
          <w:tcPr>
            <w:tcW w:w="1384" w:type="dxa"/>
          </w:tcPr>
          <w:p w14:paraId="03A2073D">
            <w:pPr>
              <w:rPr>
                <w:highlight w:val="none"/>
              </w:rPr>
            </w:pPr>
          </w:p>
        </w:tc>
        <w:tc>
          <w:tcPr>
            <w:tcW w:w="1384" w:type="dxa"/>
          </w:tcPr>
          <w:p w14:paraId="6137650D">
            <w:pPr>
              <w:rPr>
                <w:highlight w:val="none"/>
              </w:rPr>
            </w:pPr>
          </w:p>
        </w:tc>
        <w:tc>
          <w:tcPr>
            <w:tcW w:w="1384" w:type="dxa"/>
          </w:tcPr>
          <w:p w14:paraId="5ECD8023">
            <w:pPr>
              <w:rPr>
                <w:highlight w:val="none"/>
              </w:rPr>
            </w:pPr>
          </w:p>
        </w:tc>
        <w:tc>
          <w:tcPr>
            <w:tcW w:w="1384" w:type="dxa"/>
          </w:tcPr>
          <w:p w14:paraId="476394D8">
            <w:pPr>
              <w:rPr>
                <w:highlight w:val="none"/>
              </w:rPr>
            </w:pPr>
          </w:p>
        </w:tc>
        <w:tc>
          <w:tcPr>
            <w:tcW w:w="1384" w:type="dxa"/>
          </w:tcPr>
          <w:p w14:paraId="685EBC60">
            <w:pPr>
              <w:rPr>
                <w:highlight w:val="none"/>
              </w:rPr>
            </w:pPr>
          </w:p>
        </w:tc>
      </w:tr>
    </w:tbl>
    <w:p w14:paraId="28BD7173">
      <w:pPr>
        <w:pStyle w:val="15"/>
        <w:ind w:firstLine="480"/>
        <w:jc w:val="both"/>
        <w:rPr>
          <w:highlight w:val="none"/>
        </w:rPr>
      </w:pPr>
      <w:r>
        <w:rPr>
          <w:highlight w:val="none"/>
        </w:rPr>
        <w:t>注：供应商提交的响应文件中与采购文件第四章“协商内容及要求”的要求有不同时，应逐条列在偏离表中，否则将认为供应商接受采购文件的要求。</w:t>
      </w:r>
    </w:p>
    <w:p w14:paraId="17B2427B">
      <w:pPr>
        <w:pStyle w:val="15"/>
        <w:ind w:firstLine="480"/>
        <w:jc w:val="right"/>
        <w:rPr>
          <w:highlight w:val="none"/>
        </w:rPr>
      </w:pPr>
      <w:r>
        <w:rPr>
          <w:highlight w:val="none"/>
        </w:rPr>
        <w:t>供应商代表签名或签章：</w:t>
      </w:r>
      <w:r>
        <w:rPr>
          <w:highlight w:val="none"/>
          <w:u w:val="single"/>
        </w:rPr>
        <w:t>　　　　　　　</w:t>
      </w:r>
    </w:p>
    <w:p w14:paraId="1E1986EA">
      <w:pPr>
        <w:pStyle w:val="15"/>
        <w:ind w:firstLine="480"/>
        <w:jc w:val="right"/>
        <w:rPr>
          <w:highlight w:val="none"/>
        </w:rPr>
      </w:pPr>
      <w:r>
        <w:rPr>
          <w:highlight w:val="none"/>
        </w:rPr>
        <w:t>供应商（全称并加盖公章）：</w:t>
      </w:r>
      <w:r>
        <w:rPr>
          <w:highlight w:val="none"/>
          <w:u w:val="single"/>
        </w:rPr>
        <w:t>　　　　　　　</w:t>
      </w:r>
    </w:p>
    <w:p w14:paraId="723D3FF5">
      <w:pPr>
        <w:pStyle w:val="15"/>
        <w:ind w:firstLine="480"/>
        <w:jc w:val="right"/>
        <w:rPr>
          <w:highlight w:val="none"/>
        </w:rPr>
      </w:pPr>
      <w:r>
        <w:rPr>
          <w:highlight w:val="none"/>
        </w:rPr>
        <w:t>日期：　　年　　月　　日</w:t>
      </w:r>
    </w:p>
    <w:p w14:paraId="605DC6FD">
      <w:pPr>
        <w:pStyle w:val="15"/>
        <w:jc w:val="both"/>
        <w:rPr>
          <w:highlight w:val="none"/>
        </w:rPr>
      </w:pPr>
      <w:r>
        <w:rPr>
          <w:b/>
          <w:highlight w:val="none"/>
        </w:rPr>
        <w:t xml:space="preserve"> </w:t>
      </w:r>
    </w:p>
    <w:p w14:paraId="194C108E">
      <w:pPr>
        <w:pStyle w:val="15"/>
        <w:jc w:val="center"/>
        <w:rPr>
          <w:highlight w:val="none"/>
        </w:rPr>
      </w:pPr>
      <w:r>
        <w:rPr>
          <w:highlight w:val="none"/>
        </w:rPr>
        <w:t>附件12、供应商认为需要提供的其他资料</w:t>
      </w:r>
    </w:p>
    <w:p w14:paraId="76B6688C">
      <w:pPr>
        <w:pStyle w:val="15"/>
        <w:ind w:firstLine="480"/>
        <w:jc w:val="both"/>
        <w:rPr>
          <w:highlight w:val="none"/>
        </w:rPr>
      </w:pPr>
      <w:r>
        <w:rPr>
          <w:highlight w:val="none"/>
        </w:rPr>
        <w:t>12.1、供应商认为应当提交的其他资料</w:t>
      </w:r>
    </w:p>
    <w:p w14:paraId="751A970B">
      <w:pPr>
        <w:pStyle w:val="15"/>
        <w:ind w:firstLine="480"/>
        <w:jc w:val="both"/>
        <w:rPr>
          <w:highlight w:val="none"/>
        </w:rPr>
      </w:pPr>
      <w:r>
        <w:rPr>
          <w:highlight w:val="none"/>
        </w:rPr>
        <w:t>财务状况报告</w:t>
      </w:r>
    </w:p>
    <w:p w14:paraId="125B99F2">
      <w:pPr>
        <w:pStyle w:val="15"/>
        <w:ind w:firstLine="480"/>
        <w:jc w:val="both"/>
        <w:rPr>
          <w:highlight w:val="none"/>
        </w:rPr>
      </w:pPr>
      <w:r>
        <w:rPr>
          <w:highlight w:val="none"/>
        </w:rPr>
        <w:t>依法缴纳税收证明材料</w:t>
      </w:r>
    </w:p>
    <w:p w14:paraId="050DF4DC">
      <w:pPr>
        <w:pStyle w:val="15"/>
        <w:ind w:firstLine="480"/>
        <w:jc w:val="both"/>
        <w:rPr>
          <w:highlight w:val="none"/>
        </w:rPr>
      </w:pPr>
      <w:r>
        <w:rPr>
          <w:highlight w:val="none"/>
        </w:rPr>
        <w:t>依法缴纳社会保障资金证明材料</w:t>
      </w:r>
    </w:p>
    <w:p w14:paraId="7A4BE034">
      <w:pPr>
        <w:pStyle w:val="15"/>
        <w:ind w:firstLine="480"/>
        <w:jc w:val="both"/>
        <w:rPr>
          <w:highlight w:val="none"/>
        </w:rPr>
      </w:pPr>
      <w:r>
        <w:rPr>
          <w:highlight w:val="none"/>
        </w:rPr>
        <w:t>具备履行合同所必需设备和专业技术能力证明材料</w:t>
      </w:r>
    </w:p>
    <w:p w14:paraId="1205A3C4">
      <w:pPr>
        <w:pStyle w:val="15"/>
        <w:ind w:firstLine="480"/>
        <w:jc w:val="both"/>
        <w:rPr>
          <w:highlight w:val="none"/>
        </w:rPr>
      </w:pPr>
      <w:r>
        <w:rPr>
          <w:highlight w:val="none"/>
        </w:rPr>
        <w:t>参加采购活动前三年内在经营活动中没有重大违法记录书面声明</w:t>
      </w:r>
    </w:p>
    <w:p w14:paraId="66238D70">
      <w:pPr>
        <w:pStyle w:val="15"/>
        <w:ind w:firstLine="480"/>
        <w:jc w:val="both"/>
        <w:rPr>
          <w:highlight w:val="none"/>
        </w:rPr>
      </w:pPr>
      <w:r>
        <w:rPr>
          <w:highlight w:val="none"/>
        </w:rPr>
        <w:t>中小企业声明函</w:t>
      </w:r>
    </w:p>
    <w:p w14:paraId="060C1DEA">
      <w:pPr>
        <w:pStyle w:val="15"/>
        <w:ind w:firstLine="480"/>
        <w:jc w:val="both"/>
        <w:rPr>
          <w:highlight w:val="none"/>
        </w:rPr>
      </w:pPr>
      <w:r>
        <w:rPr>
          <w:highlight w:val="none"/>
        </w:rPr>
        <w:t>残疾人福利性单位声明函</w:t>
      </w:r>
    </w:p>
    <w:p w14:paraId="33412A72">
      <w:pPr>
        <w:pStyle w:val="15"/>
        <w:ind w:firstLine="480"/>
        <w:jc w:val="both"/>
        <w:rPr>
          <w:highlight w:val="none"/>
        </w:rPr>
      </w:pPr>
      <w:r>
        <w:rPr>
          <w:highlight w:val="none"/>
        </w:rPr>
        <w:t>监狱企业证明材料</w:t>
      </w:r>
    </w:p>
    <w:p w14:paraId="0A1DE589">
      <w:pPr>
        <w:pStyle w:val="15"/>
        <w:ind w:firstLine="480"/>
        <w:jc w:val="right"/>
        <w:rPr>
          <w:highlight w:val="none"/>
        </w:rPr>
      </w:pPr>
      <w:r>
        <w:rPr>
          <w:highlight w:val="none"/>
        </w:rPr>
        <w:t>供应商代表签名或签章：</w:t>
      </w:r>
      <w:r>
        <w:rPr>
          <w:highlight w:val="none"/>
          <w:u w:val="single"/>
        </w:rPr>
        <w:t>　　　　　　　</w:t>
      </w:r>
    </w:p>
    <w:p w14:paraId="6F0CF19D">
      <w:pPr>
        <w:pStyle w:val="15"/>
        <w:ind w:firstLine="480"/>
        <w:jc w:val="right"/>
        <w:rPr>
          <w:highlight w:val="none"/>
        </w:rPr>
      </w:pPr>
      <w:r>
        <w:rPr>
          <w:highlight w:val="none"/>
        </w:rPr>
        <w:t>供应商（全称并加盖公章）：</w:t>
      </w:r>
      <w:r>
        <w:rPr>
          <w:highlight w:val="none"/>
          <w:u w:val="single"/>
        </w:rPr>
        <w:t>　　　　　　　</w:t>
      </w:r>
    </w:p>
    <w:p w14:paraId="40881382">
      <w:pPr>
        <w:pStyle w:val="15"/>
        <w:ind w:firstLine="480"/>
        <w:jc w:val="right"/>
        <w:rPr>
          <w:highlight w:val="none"/>
        </w:rPr>
      </w:pPr>
      <w:r>
        <w:rPr>
          <w:highlight w:val="none"/>
        </w:rPr>
        <w:t>日期：　　年　　月　　日</w:t>
      </w:r>
    </w:p>
    <w:p w14:paraId="220F3A6B">
      <w:pPr>
        <w:rPr>
          <w:rFonts w:hint="eastAsia"/>
          <w:highlight w:val="none"/>
          <w:lang w:val="en-US" w:eastAsia="zh-Hans"/>
        </w:rPr>
      </w:pPr>
      <w:r>
        <w:rPr>
          <w:rFonts w:hint="eastAsia"/>
          <w:highlight w:val="none"/>
          <w:lang w:val="en-US" w:eastAsia="zh-Hans"/>
        </w:rPr>
        <w:br w:type="page"/>
      </w:r>
    </w:p>
    <w:p w14:paraId="65429A6B">
      <w:pPr>
        <w:pStyle w:val="15"/>
        <w:jc w:val="center"/>
        <w:rPr>
          <w:rFonts w:hint="eastAsia"/>
          <w:highlight w:val="none"/>
          <w:lang w:val="en-US" w:eastAsia="zh-CN"/>
        </w:rPr>
      </w:pPr>
      <w:r>
        <w:rPr>
          <w:rFonts w:hint="eastAsia"/>
          <w:b/>
          <w:bCs/>
          <w:highlight w:val="none"/>
          <w:lang w:val="en-US" w:eastAsia="zh-CN"/>
        </w:rPr>
        <w:t>附件13  资格承诺函</w:t>
      </w:r>
    </w:p>
    <w:p w14:paraId="7977416C">
      <w:pPr>
        <w:pStyle w:val="15"/>
        <w:ind w:firstLine="0"/>
        <w:jc w:val="left"/>
        <w:rPr>
          <w:rFonts w:ascii="仿宋_GB2312" w:hAnsi="仿宋_GB2312" w:eastAsia="仿宋_GB2312" w:cs="仿宋_GB2312"/>
        </w:rPr>
      </w:pPr>
    </w:p>
    <w:p w14:paraId="5F9ED175">
      <w:pPr>
        <w:pStyle w:val="15"/>
        <w:ind w:firstLine="0"/>
        <w:jc w:val="left"/>
        <w:rPr>
          <w:rFonts w:hint="eastAsia" w:eastAsia="仿宋_GB2312"/>
          <w:lang w:eastAsia="zh-CN"/>
        </w:rPr>
      </w:pPr>
      <w:r>
        <w:rPr>
          <w:rFonts w:ascii="仿宋_GB2312" w:hAnsi="仿宋_GB2312" w:eastAsia="仿宋_GB2312" w:cs="仿宋_GB2312"/>
        </w:rPr>
        <w:t>致：</w:t>
      </w:r>
      <w:r>
        <w:rPr>
          <w:rFonts w:hint="eastAsia" w:ascii="仿宋_GB2312" w:hAnsi="仿宋_GB2312" w:eastAsia="仿宋_GB2312" w:cs="仿宋_GB2312"/>
          <w:u w:val="single"/>
          <w:lang w:eastAsia="zh-CN"/>
        </w:rPr>
        <w:t>泉州市政府采购中心</w:t>
      </w:r>
    </w:p>
    <w:p w14:paraId="0EB3E242">
      <w:pPr>
        <w:pStyle w:val="15"/>
        <w:ind w:firstLine="400" w:firstLineChars="200"/>
        <w:jc w:val="left"/>
      </w:pPr>
      <w:r>
        <w:rPr>
          <w:rFonts w:ascii="仿宋_GB2312" w:hAnsi="仿宋_GB2312" w:eastAsia="仿宋_GB2312" w:cs="仿宋_GB2312"/>
        </w:rPr>
        <w:t>单位名称(自然人姓名):</w:t>
      </w:r>
    </w:p>
    <w:p w14:paraId="7CBECEB7">
      <w:pPr>
        <w:pStyle w:val="15"/>
        <w:ind w:firstLine="400" w:firstLineChars="200"/>
        <w:jc w:val="left"/>
      </w:pPr>
      <w:r>
        <w:rPr>
          <w:rFonts w:ascii="仿宋_GB2312" w:hAnsi="仿宋_GB2312" w:eastAsia="仿宋_GB2312" w:cs="仿宋_GB2312"/>
        </w:rPr>
        <w:t>统一社会信用代码(自然人身份证号码):</w:t>
      </w:r>
    </w:p>
    <w:p w14:paraId="62BD4018">
      <w:pPr>
        <w:pStyle w:val="15"/>
        <w:ind w:firstLine="400" w:firstLineChars="200"/>
        <w:jc w:val="left"/>
      </w:pPr>
      <w:r>
        <w:rPr>
          <w:rFonts w:ascii="仿宋_GB2312" w:hAnsi="仿宋_GB2312" w:eastAsia="仿宋_GB2312" w:cs="仿宋_GB2312"/>
        </w:rPr>
        <w:t>法定代表人(负责人):</w:t>
      </w:r>
    </w:p>
    <w:p w14:paraId="22B95EFA">
      <w:pPr>
        <w:pStyle w:val="15"/>
        <w:ind w:firstLine="400" w:firstLineChars="200"/>
        <w:jc w:val="left"/>
      </w:pPr>
      <w:r>
        <w:rPr>
          <w:rFonts w:ascii="仿宋_GB2312" w:hAnsi="仿宋_GB2312" w:eastAsia="仿宋_GB2312" w:cs="仿宋_GB2312"/>
        </w:rPr>
        <w:t>联系地址和电话:</w:t>
      </w:r>
    </w:p>
    <w:p w14:paraId="6DC6571B">
      <w:pPr>
        <w:pStyle w:val="15"/>
        <w:ind w:firstLine="400" w:firstLineChars="200"/>
        <w:jc w:val="left"/>
      </w:pPr>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p>
    <w:p w14:paraId="0DB98FFA">
      <w:pPr>
        <w:pStyle w:val="15"/>
        <w:ind w:firstLine="400" w:firstLineChars="200"/>
        <w:jc w:val="left"/>
      </w:pPr>
      <w:r>
        <w:rPr>
          <w:rFonts w:ascii="仿宋_GB2312" w:hAnsi="仿宋_GB2312" w:eastAsia="仿宋_GB2312" w:cs="仿宋_GB2312"/>
        </w:rPr>
        <w:t>一、我单位(本人)具备采购文件要求以及《中华人民共和国政府采购法》第二十二条规定的条件:</w:t>
      </w:r>
    </w:p>
    <w:p w14:paraId="26DAA5D0">
      <w:pPr>
        <w:pStyle w:val="15"/>
        <w:ind w:firstLine="400" w:firstLineChars="200"/>
        <w:jc w:val="left"/>
      </w:pPr>
      <w:r>
        <w:rPr>
          <w:rFonts w:ascii="仿宋_GB2312" w:hAnsi="仿宋_GB2312" w:eastAsia="仿宋_GB2312" w:cs="仿宋_GB2312"/>
        </w:rPr>
        <w:t>1.具有独立承担民事责任的能力;</w:t>
      </w:r>
    </w:p>
    <w:p w14:paraId="45BD7EB6">
      <w:pPr>
        <w:pStyle w:val="15"/>
        <w:ind w:firstLine="400" w:firstLineChars="200"/>
        <w:jc w:val="left"/>
      </w:pPr>
      <w:r>
        <w:rPr>
          <w:rFonts w:ascii="仿宋_GB2312" w:hAnsi="仿宋_GB2312" w:eastAsia="仿宋_GB2312" w:cs="仿宋_GB2312"/>
        </w:rPr>
        <w:t>2.具有良好的商业信誉和健全的财务会计制度;</w:t>
      </w:r>
    </w:p>
    <w:p w14:paraId="15E58404">
      <w:pPr>
        <w:pStyle w:val="15"/>
        <w:ind w:firstLine="400" w:firstLineChars="200"/>
        <w:jc w:val="left"/>
      </w:pPr>
      <w:r>
        <w:rPr>
          <w:rFonts w:ascii="仿宋_GB2312" w:hAnsi="仿宋_GB2312" w:eastAsia="仿宋_GB2312" w:cs="仿宋_GB2312"/>
        </w:rPr>
        <w:t>3.具有履行合同所必需的设备和专业技术能力;</w:t>
      </w:r>
    </w:p>
    <w:p w14:paraId="69A0F003">
      <w:pPr>
        <w:pStyle w:val="15"/>
        <w:ind w:firstLine="400" w:firstLineChars="200"/>
        <w:jc w:val="left"/>
      </w:pPr>
      <w:r>
        <w:rPr>
          <w:rFonts w:ascii="仿宋_GB2312" w:hAnsi="仿宋_GB2312" w:eastAsia="仿宋_GB2312" w:cs="仿宋_GB2312"/>
        </w:rPr>
        <w:t>4.有依法缴纳税收和社会保障资金的良好记录;</w:t>
      </w:r>
    </w:p>
    <w:p w14:paraId="4CD3C627">
      <w:pPr>
        <w:pStyle w:val="15"/>
        <w:ind w:firstLine="400" w:firstLineChars="200"/>
        <w:jc w:val="left"/>
      </w:pPr>
      <w:r>
        <w:rPr>
          <w:rFonts w:ascii="仿宋_GB2312" w:hAnsi="仿宋_GB2312" w:eastAsia="仿宋_GB2312" w:cs="仿宋_GB2312"/>
        </w:rPr>
        <w:t>5.参加政府采购活动前三年内，在经营活动中没有重大违法记录；</w:t>
      </w:r>
    </w:p>
    <w:p w14:paraId="47C7AF7A">
      <w:pPr>
        <w:pStyle w:val="15"/>
        <w:ind w:firstLine="400" w:firstLineChars="200"/>
        <w:jc w:val="left"/>
      </w:pPr>
      <w:r>
        <w:rPr>
          <w:rFonts w:ascii="仿宋_GB2312" w:hAnsi="仿宋_GB2312" w:eastAsia="仿宋_GB2312" w:cs="仿宋_GB2312"/>
        </w:rPr>
        <w:t>6.法律、行政法规规定的其他条件。</w:t>
      </w:r>
    </w:p>
    <w:p w14:paraId="3F951E90">
      <w:pPr>
        <w:pStyle w:val="15"/>
        <w:ind w:firstLine="400" w:firstLineChars="200"/>
        <w:jc w:val="left"/>
      </w:pPr>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652C594A">
      <w:pPr>
        <w:pStyle w:val="15"/>
        <w:ind w:firstLine="480"/>
        <w:jc w:val="left"/>
        <w:rPr>
          <w:rFonts w:ascii="仿宋_GB2312" w:hAnsi="仿宋_GB2312" w:eastAsia="仿宋_GB2312" w:cs="仿宋_GB2312"/>
        </w:rPr>
      </w:pPr>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665D0E27">
      <w:pPr>
        <w:pStyle w:val="15"/>
        <w:ind w:firstLine="480"/>
        <w:jc w:val="right"/>
        <w:rPr>
          <w:rFonts w:ascii="仿宋_GB2312" w:hAnsi="仿宋_GB2312" w:eastAsia="仿宋_GB2312" w:cs="仿宋_GB2312"/>
        </w:rPr>
      </w:pPr>
    </w:p>
    <w:p w14:paraId="6D135080">
      <w:pPr>
        <w:pStyle w:val="15"/>
        <w:ind w:firstLine="480"/>
        <w:jc w:val="right"/>
        <w:rPr>
          <w:rFonts w:ascii="仿宋_GB2312" w:hAnsi="仿宋_GB2312" w:eastAsia="仿宋_GB2312" w:cs="仿宋_GB2312"/>
        </w:rPr>
      </w:pPr>
    </w:p>
    <w:p w14:paraId="50278C77">
      <w:pPr>
        <w:pStyle w:val="15"/>
        <w:ind w:firstLine="480"/>
        <w:jc w:val="right"/>
        <w:rPr>
          <w:rFonts w:ascii="仿宋_GB2312" w:hAnsi="仿宋_GB2312" w:eastAsia="仿宋_GB2312" w:cs="仿宋_GB2312"/>
          <w:u w:val="single"/>
        </w:rPr>
      </w:pPr>
      <w:r>
        <w:rPr>
          <w:rFonts w:ascii="仿宋_GB2312" w:hAnsi="仿宋_GB2312" w:eastAsia="仿宋_GB2312" w:cs="仿宋_GB2312"/>
        </w:rPr>
        <w:t>供应商：</w:t>
      </w:r>
      <w:r>
        <w:rPr>
          <w:rFonts w:ascii="仿宋_GB2312" w:hAnsi="仿宋_GB2312" w:eastAsia="仿宋_GB2312" w:cs="仿宋_GB2312"/>
          <w:u w:val="single"/>
        </w:rPr>
        <w:t>名称(单位公章)</w:t>
      </w:r>
    </w:p>
    <w:p w14:paraId="037295B8">
      <w:pPr>
        <w:pStyle w:val="15"/>
        <w:ind w:firstLine="480"/>
        <w:jc w:val="right"/>
        <w:rPr>
          <w:rFonts w:hint="default"/>
          <w:highlight w:val="none"/>
          <w:lang w:val="en-US" w:eastAsia="zh-CN"/>
        </w:rPr>
      </w:pPr>
      <w:r>
        <w:rPr>
          <w:rFonts w:ascii="仿宋_GB2312" w:hAnsi="仿宋_GB2312" w:eastAsia="仿宋_GB2312" w:cs="仿宋_GB2312"/>
        </w:rPr>
        <w:t>日期：</w:t>
      </w:r>
      <w:r>
        <w:rPr>
          <w:rFonts w:ascii="仿宋_GB2312" w:hAnsi="仿宋_GB2312" w:eastAsia="仿宋_GB2312" w:cs="仿宋_GB2312"/>
          <w:u w:val="single"/>
        </w:rPr>
        <w:t>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7DBDB"/>
    <w:multiLevelType w:val="singleLevel"/>
    <w:tmpl w:val="99E7DBDB"/>
    <w:lvl w:ilvl="0" w:tentative="0">
      <w:start w:val="1"/>
      <w:numFmt w:val="decimal"/>
      <w:lvlText w:val="(%1)"/>
      <w:lvlJc w:val="left"/>
      <w:pPr>
        <w:ind w:left="420" w:hanging="420"/>
      </w:pPr>
      <w:rPr>
        <w:rFonts w:hint="eastAsia"/>
      </w:rPr>
    </w:lvl>
  </w:abstractNum>
  <w:abstractNum w:abstractNumId="1">
    <w:nsid w:val="C290DF8F"/>
    <w:multiLevelType w:val="singleLevel"/>
    <w:tmpl w:val="C290DF8F"/>
    <w:lvl w:ilvl="0" w:tentative="0">
      <w:start w:val="1"/>
      <w:numFmt w:val="decimal"/>
      <w:suff w:val="nothing"/>
      <w:lvlText w:val="%1．"/>
      <w:lvlJc w:val="left"/>
      <w:pPr>
        <w:ind w:left="0" w:firstLine="400"/>
      </w:pPr>
      <w:rPr>
        <w:rFonts w:hint="default"/>
      </w:rPr>
    </w:lvl>
  </w:abstractNum>
  <w:abstractNum w:abstractNumId="2">
    <w:nsid w:val="D7487486"/>
    <w:multiLevelType w:val="singleLevel"/>
    <w:tmpl w:val="D7487486"/>
    <w:lvl w:ilvl="0" w:tentative="0">
      <w:start w:val="1"/>
      <w:numFmt w:val="decimal"/>
      <w:suff w:val="nothing"/>
      <w:lvlText w:val="%1．"/>
      <w:lvlJc w:val="left"/>
      <w:pPr>
        <w:ind w:left="0" w:firstLine="400"/>
      </w:pPr>
      <w:rPr>
        <w:rFonts w:hint="default"/>
      </w:rPr>
    </w:lvl>
  </w:abstractNum>
  <w:abstractNum w:abstractNumId="3">
    <w:nsid w:val="F5A824AA"/>
    <w:multiLevelType w:val="singleLevel"/>
    <w:tmpl w:val="F5A824AA"/>
    <w:lvl w:ilvl="0" w:tentative="0">
      <w:start w:val="1"/>
      <w:numFmt w:val="decimal"/>
      <w:lvlText w:val="(%1)"/>
      <w:lvlJc w:val="left"/>
      <w:pPr>
        <w:ind w:left="425" w:hanging="425"/>
      </w:pPr>
      <w:rPr>
        <w:rFonts w:hint="default"/>
      </w:rPr>
    </w:lvl>
  </w:abstractNum>
  <w:abstractNum w:abstractNumId="4">
    <w:nsid w:val="018F73A8"/>
    <w:multiLevelType w:val="singleLevel"/>
    <w:tmpl w:val="018F73A8"/>
    <w:lvl w:ilvl="0" w:tentative="0">
      <w:start w:val="1"/>
      <w:numFmt w:val="decimal"/>
      <w:suff w:val="nothing"/>
      <w:lvlText w:val="%1．"/>
      <w:lvlJc w:val="left"/>
      <w:pPr>
        <w:ind w:left="0" w:firstLine="400"/>
      </w:pPr>
      <w:rPr>
        <w:rFonts w:hint="default"/>
      </w:rPr>
    </w:lvl>
  </w:abstractNum>
  <w:abstractNum w:abstractNumId="5">
    <w:nsid w:val="01C9E62D"/>
    <w:multiLevelType w:val="singleLevel"/>
    <w:tmpl w:val="01C9E62D"/>
    <w:lvl w:ilvl="0" w:tentative="0">
      <w:start w:val="1"/>
      <w:numFmt w:val="decimal"/>
      <w:suff w:val="nothing"/>
      <w:lvlText w:val="%1．"/>
      <w:lvlJc w:val="left"/>
      <w:pPr>
        <w:ind w:left="0" w:firstLine="400"/>
      </w:pPr>
      <w:rPr>
        <w:rFonts w:hint="default"/>
      </w:rPr>
    </w:lvl>
  </w:abstractNum>
  <w:abstractNum w:abstractNumId="6">
    <w:nsid w:val="32C7403F"/>
    <w:multiLevelType w:val="multilevel"/>
    <w:tmpl w:val="32C7403F"/>
    <w:lvl w:ilvl="0" w:tentative="0">
      <w:start w:val="1"/>
      <w:numFmt w:val="decimal"/>
      <w:lvlText w:val="第%1章."/>
      <w:lvlJc w:val="left"/>
      <w:pPr>
        <w:ind w:left="420" w:hanging="420"/>
      </w:pPr>
      <w:rPr>
        <w:rFonts w:hint="eastAsia"/>
      </w:rPr>
    </w:lvl>
    <w:lvl w:ilvl="1" w:tentative="0">
      <w:start w:val="1"/>
      <w:numFmt w:val="decimal"/>
      <w:isLgl/>
      <w:lvlText w:val="%1.%2"/>
      <w:lvlJc w:val="left"/>
      <w:pPr>
        <w:ind w:left="576" w:hanging="576"/>
      </w:pPr>
      <w:rPr>
        <w:rFonts w:hint="eastAsia"/>
      </w:rPr>
    </w:lvl>
    <w:lvl w:ilvl="2" w:tentative="0">
      <w:start w:val="1"/>
      <w:numFmt w:val="decimal"/>
      <w:pStyle w:val="3"/>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576" w:hanging="1008"/>
      </w:pPr>
      <w:rPr>
        <w:rFonts w:hint="eastAsia"/>
      </w:rPr>
    </w:lvl>
    <w:lvl w:ilvl="5" w:tentative="0">
      <w:start w:val="1"/>
      <w:numFmt w:val="decimal"/>
      <w:isLgl/>
      <w:lvlText w:val="%1.%2.%3.%4.%5.%6"/>
      <w:lvlJc w:val="left"/>
      <w:pPr>
        <w:ind w:left="1152" w:hanging="1152"/>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abstractNum w:abstractNumId="7">
    <w:nsid w:val="4004DC62"/>
    <w:multiLevelType w:val="singleLevel"/>
    <w:tmpl w:val="4004DC62"/>
    <w:lvl w:ilvl="0" w:tentative="0">
      <w:start w:val="1"/>
      <w:numFmt w:val="decimal"/>
      <w:suff w:val="nothing"/>
      <w:lvlText w:val="%1、"/>
      <w:lvlJc w:val="left"/>
    </w:lvl>
  </w:abstractNum>
  <w:abstractNum w:abstractNumId="8">
    <w:nsid w:val="4A3B828C"/>
    <w:multiLevelType w:val="singleLevel"/>
    <w:tmpl w:val="4A3B828C"/>
    <w:lvl w:ilvl="0" w:tentative="0">
      <w:start w:val="1"/>
      <w:numFmt w:val="decimal"/>
      <w:suff w:val="nothing"/>
      <w:lvlText w:val="%1．"/>
      <w:lvlJc w:val="left"/>
      <w:pPr>
        <w:ind w:left="0" w:firstLine="400"/>
      </w:pPr>
      <w:rPr>
        <w:rFonts w:hint="default"/>
      </w:rPr>
    </w:lvl>
  </w:abstractNum>
  <w:abstractNum w:abstractNumId="9">
    <w:nsid w:val="775C22AE"/>
    <w:multiLevelType w:val="singleLevel"/>
    <w:tmpl w:val="775C22AE"/>
    <w:lvl w:ilvl="0" w:tentative="0">
      <w:start w:val="1"/>
      <w:numFmt w:val="decimal"/>
      <w:lvlText w:val="(%1)"/>
      <w:lvlJc w:val="left"/>
      <w:pPr>
        <w:tabs>
          <w:tab w:val="left" w:pos="397"/>
        </w:tabs>
        <w:ind w:left="0" w:firstLine="0"/>
      </w:pPr>
      <w:rPr>
        <w:rFonts w:hint="default"/>
      </w:rPr>
    </w:lvl>
  </w:abstractNum>
  <w:num w:numId="1">
    <w:abstractNumId w:val="6"/>
  </w:num>
  <w:num w:numId="2">
    <w:abstractNumId w:val="0"/>
  </w:num>
  <w:num w:numId="3">
    <w:abstractNumId w:val="3"/>
  </w:num>
  <w:num w:numId="4">
    <w:abstractNumId w:val="5"/>
  </w:num>
  <w:num w:numId="5">
    <w:abstractNumId w:val="2"/>
  </w:num>
  <w:num w:numId="6">
    <w:abstractNumId w:val="7"/>
  </w:num>
  <w:num w:numId="7">
    <w:abstractNumId w:val="1"/>
  </w:num>
  <w:num w:numId="8">
    <w:abstractNumId w:val="4"/>
  </w:num>
  <w:num w:numId="9">
    <w:abstractNumId w:val="8"/>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rson w15:author="曾">
    <w15:presenceInfo w15:providerId="WPS Office" w15:userId="39740625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wOTg5ZGJlMzQzZDA5OTA1YTQ0M2FlZjdiNDc5ZDUifQ=="/>
  </w:docVars>
  <w:rsids>
    <w:rsidRoot w:val="53B52B8D"/>
    <w:rsid w:val="006032E0"/>
    <w:rsid w:val="017344C8"/>
    <w:rsid w:val="043D59D9"/>
    <w:rsid w:val="0A9B13D0"/>
    <w:rsid w:val="0B1D17D3"/>
    <w:rsid w:val="0EE13EC1"/>
    <w:rsid w:val="12167815"/>
    <w:rsid w:val="14BF0A46"/>
    <w:rsid w:val="164E3903"/>
    <w:rsid w:val="177F50ED"/>
    <w:rsid w:val="1D4C4E93"/>
    <w:rsid w:val="1FF44F1C"/>
    <w:rsid w:val="224542A5"/>
    <w:rsid w:val="289D64D0"/>
    <w:rsid w:val="313B4F7C"/>
    <w:rsid w:val="32E751C5"/>
    <w:rsid w:val="33910023"/>
    <w:rsid w:val="3BEF2257"/>
    <w:rsid w:val="3EFB5071"/>
    <w:rsid w:val="420D2407"/>
    <w:rsid w:val="43947F79"/>
    <w:rsid w:val="44990F8E"/>
    <w:rsid w:val="466E68EF"/>
    <w:rsid w:val="46EC0D14"/>
    <w:rsid w:val="4B6C8A32"/>
    <w:rsid w:val="50EF48BD"/>
    <w:rsid w:val="53B52B8D"/>
    <w:rsid w:val="59D36D55"/>
    <w:rsid w:val="59FC44D0"/>
    <w:rsid w:val="607677A6"/>
    <w:rsid w:val="632E4E68"/>
    <w:rsid w:val="690D4C11"/>
    <w:rsid w:val="6B25173D"/>
    <w:rsid w:val="6B9B4CB7"/>
    <w:rsid w:val="701345BF"/>
    <w:rsid w:val="728F1117"/>
    <w:rsid w:val="74E53ED2"/>
    <w:rsid w:val="75BFD7AB"/>
    <w:rsid w:val="75FF43C2"/>
    <w:rsid w:val="77F79321"/>
    <w:rsid w:val="7B2F5701"/>
    <w:rsid w:val="7BF9256E"/>
    <w:rsid w:val="B75F1782"/>
    <w:rsid w:val="BBBF7779"/>
    <w:rsid w:val="BFDFBB65"/>
    <w:rsid w:val="E5FA2B8C"/>
    <w:rsid w:val="FE534A35"/>
    <w:rsid w:val="FEFEE379"/>
    <w:rsid w:val="FF5F1258"/>
    <w:rsid w:val="FFCF89F5"/>
    <w:rsid w:val="FFFF8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4"/>
    <w:next w:val="1"/>
    <w:unhideWhenUsed/>
    <w:qFormat/>
    <w:uiPriority w:val="0"/>
    <w:pPr>
      <w:keepNext/>
      <w:keepLines/>
      <w:widowControl w:val="0"/>
      <w:numPr>
        <w:ilvl w:val="2"/>
        <w:numId w:val="1"/>
      </w:numPr>
      <w:spacing w:before="260" w:after="260" w:line="416" w:lineRule="auto"/>
      <w:jc w:val="both"/>
      <w:outlineLvl w:val="2"/>
    </w:pPr>
    <w:rPr>
      <w:rFonts w:ascii="黑体" w:hAnsi="黑体" w:eastAsia="黑体" w:cs="黑体"/>
      <w:b/>
      <w:bCs/>
      <w:kern w:val="2"/>
      <w:sz w:val="28"/>
      <w:szCs w:val="28"/>
    </w:rPr>
  </w:style>
  <w:style w:type="paragraph" w:styleId="5">
    <w:name w:val="heading 4"/>
    <w:basedOn w:val="1"/>
    <w:next w:val="6"/>
    <w:unhideWhenUsed/>
    <w:qFormat/>
    <w:uiPriority w:val="0"/>
    <w:pPr>
      <w:keepNext/>
      <w:keepLines/>
      <w:spacing w:before="280" w:after="290" w:afterLines="0" w:line="372" w:lineRule="auto"/>
      <w:outlineLvl w:val="3"/>
    </w:pPr>
    <w:rPr>
      <w:rFonts w:ascii="Arial" w:hAnsi="Arial" w:eastAsia="黑体"/>
      <w:b/>
    </w:rPr>
  </w:style>
  <w:style w:type="paragraph" w:styleId="7">
    <w:name w:val="heading 5"/>
    <w:basedOn w:val="1"/>
    <w:next w:val="1"/>
    <w:unhideWhenUsed/>
    <w:qFormat/>
    <w:uiPriority w:val="0"/>
    <w:pPr>
      <w:keepNext/>
      <w:keepLines/>
      <w:spacing w:before="120" w:after="120"/>
      <w:outlineLvl w:val="4"/>
    </w:pPr>
    <w:rPr>
      <w:rFonts w:ascii="黑体" w:hAnsi="黑体" w:cstheme="majorEastAsia"/>
      <w:bCs/>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4">
    <w:name w:val="列出段落1"/>
    <w:basedOn w:val="1"/>
    <w:qFormat/>
    <w:uiPriority w:val="0"/>
    <w:pPr>
      <w:ind w:firstLine="420"/>
    </w:pPr>
    <w:rPr>
      <w:rFonts w:ascii="Calibri" w:hAnsi="Calibri" w:eastAsiaTheme="minorEastAsia"/>
      <w:sz w:val="21"/>
    </w:rPr>
  </w:style>
  <w:style w:type="paragraph" w:customStyle="1" w:styleId="6">
    <w:name w:val="FC正文"/>
    <w:basedOn w:val="1"/>
    <w:qFormat/>
    <w:uiPriority w:val="0"/>
    <w:pPr>
      <w:snapToGrid w:val="0"/>
      <w:spacing w:beforeLines="50"/>
      <w:ind w:firstLine="200"/>
      <w:contextualSpacing/>
    </w:pPr>
    <w:rPr>
      <w:rFonts w:asciiTheme="minorEastAsia" w:hAnsiTheme="minorEastAsia" w:eastAsiaTheme="minorEastAsia" w:cstheme="minorEastAsia"/>
      <w:szCs w:val="21"/>
    </w:rPr>
  </w:style>
  <w:style w:type="paragraph" w:styleId="8">
    <w:name w:val="Normal Indent"/>
    <w:basedOn w:val="1"/>
    <w:next w:val="9"/>
    <w:qFormat/>
    <w:uiPriority w:val="99"/>
    <w:pPr>
      <w:ind w:firstLine="420"/>
    </w:pPr>
    <w:rPr>
      <w:rFonts w:ascii="Times New Roman" w:hAnsi="Times New Roman" w:cs="Times New Roman"/>
      <w:szCs w:val="20"/>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w:basedOn w:val="1"/>
    <w:unhideWhenUsed/>
    <w:qFormat/>
    <w:uiPriority w:val="0"/>
    <w:pPr>
      <w:spacing w:after="120"/>
    </w:pPr>
  </w:style>
  <w:style w:type="paragraph" w:styleId="11">
    <w:name w:val="Body Text First Indent"/>
    <w:basedOn w:val="10"/>
    <w:qFormat/>
    <w:uiPriority w:val="0"/>
    <w:pPr>
      <w:ind w:firstLine="420" w:firstLineChars="100"/>
    </w:pPr>
  </w:style>
  <w:style w:type="character" w:styleId="14">
    <w:name w:val="Hyperlink"/>
    <w:basedOn w:val="13"/>
    <w:qFormat/>
    <w:uiPriority w:val="0"/>
    <w:rPr>
      <w:color w:val="0000FF"/>
      <w:u w:val="single"/>
    </w:rPr>
  </w:style>
  <w:style w:type="paragraph" w:customStyle="1" w:styleId="15">
    <w:name w:val="null3"/>
    <w:hidden/>
    <w:qFormat/>
    <w:uiPriority w:val="0"/>
    <w:rPr>
      <w:rFonts w:hint="eastAsia" w:asciiTheme="minorHAnsi" w:hAnsiTheme="minorHAnsi" w:eastAsiaTheme="minorEastAsia" w:cstheme="minorBidi"/>
      <w:lang w:val="en-US" w:eastAsia="zh-Hans"/>
    </w:rPr>
  </w:style>
  <w:style w:type="paragraph" w:styleId="16">
    <w:name w:val="List Paragraph"/>
    <w:basedOn w:val="1"/>
    <w:unhideWhenUsed/>
    <w:qFormat/>
    <w:uiPriority w:val="34"/>
    <w:pPr>
      <w:ind w:firstLine="42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739</Words>
  <Characters>839</Characters>
  <Lines>0</Lines>
  <Paragraphs>0</Paragraphs>
  <TotalTime>20</TotalTime>
  <ScaleCrop>false</ScaleCrop>
  <LinksUpToDate>false</LinksUpToDate>
  <CharactersWithSpaces>858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2022-04-10T03:57:00Z</dcterms:created>
  <dc:creator>五块钱</dc:creator>
  <cp:lastModifiedBy>曾</cp:lastModifiedBy>
  <cp:lastPrinted>2025-06-11T18:01:00Z</cp:lastPrinted>
  <dcterms:modified xsi:type="dcterms:W3CDTF">2025-08-11T08:17:58Z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1793B979C90944509D5F597031269D03_13</vt:lpwstr>
  </property>
  <property fmtid="{D5CDD505-2E9C-101B-9397-08002B2CF9AE}" pid="4" name="KSOTemplateDocerSaveRecord">
    <vt:lpwstr>eyJoZGlkIjoiOTE0ZjM1ZDEyNjMwNDllN2JkMzBkODIzMWMwZmNlMGUiLCJ1c2VySWQiOiI5NTI4NDE3MzkifQ==</vt:lpwstr>
  </property>
</Properties>
</file>