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AA" w:rsidRDefault="00A21EAA" w:rsidP="00A21EAA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OLE_LINK3"/>
      <w:bookmarkStart w:id="1" w:name="OLE_LINK4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2024年泉州市本级财政收支决算草案</w:t>
      </w:r>
      <w:bookmarkEnd w:id="0"/>
      <w:bookmarkEnd w:id="1"/>
    </w:p>
    <w:p w:rsidR="00A21EAA" w:rsidRDefault="00A21EAA" w:rsidP="00A21EAA">
      <w:pPr>
        <w:spacing w:line="540" w:lineRule="exact"/>
        <w:ind w:firstLineChars="200" w:firstLine="640"/>
        <w:rPr>
          <w:rFonts w:eastAsia="仿宋" w:cs="仿宋"/>
          <w:color w:val="000000"/>
          <w:szCs w:val="32"/>
        </w:rPr>
      </w:pPr>
    </w:p>
    <w:p w:rsidR="00A21EAA" w:rsidRDefault="00A21EAA" w:rsidP="00A21EAA">
      <w:pPr>
        <w:spacing w:line="560" w:lineRule="exact"/>
        <w:ind w:firstLineChars="200" w:firstLine="640"/>
        <w:rPr>
          <w:rFonts w:eastAsia="方正仿宋简体" w:cs="仿宋"/>
          <w:color w:val="000000"/>
          <w:szCs w:val="32"/>
        </w:rPr>
      </w:pP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泉州市第十七届人民代表大会第</w:t>
      </w:r>
      <w:r>
        <w:rPr>
          <w:rFonts w:eastAsia="方正仿宋简体" w:cs="仿宋" w:hint="eastAsia"/>
          <w:color w:val="000000"/>
          <w:sz w:val="32"/>
          <w:szCs w:val="32"/>
        </w:rPr>
        <w:t>四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次会议审议批准了《关于泉州市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202</w:t>
      </w:r>
      <w:r>
        <w:rPr>
          <w:rFonts w:eastAsia="方正仿宋简体" w:cs="仿宋" w:hint="eastAsia"/>
          <w:color w:val="000000"/>
          <w:sz w:val="32"/>
          <w:szCs w:val="32"/>
        </w:rPr>
        <w:t>4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年预算执行情况</w:t>
      </w:r>
      <w:r>
        <w:rPr>
          <w:rFonts w:eastAsia="方正仿宋简体" w:cs="仿宋" w:hint="eastAsia"/>
          <w:color w:val="000000"/>
          <w:sz w:val="32"/>
          <w:szCs w:val="32"/>
        </w:rPr>
        <w:t>与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202</w:t>
      </w:r>
      <w:r>
        <w:rPr>
          <w:rFonts w:eastAsia="方正仿宋简体" w:cs="仿宋" w:hint="eastAsia"/>
          <w:color w:val="000000"/>
          <w:sz w:val="32"/>
          <w:szCs w:val="32"/>
        </w:rPr>
        <w:t>5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年预算草案的报告》，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202</w:t>
      </w:r>
      <w:r>
        <w:rPr>
          <w:rFonts w:eastAsia="方正仿宋简体" w:cs="仿宋" w:hint="eastAsia"/>
          <w:color w:val="000000"/>
          <w:sz w:val="32"/>
          <w:szCs w:val="32"/>
        </w:rPr>
        <w:t>4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年市本级财政收支决算草案现已编制完成，具体情况报告如下：</w:t>
      </w:r>
    </w:p>
    <w:p w:rsidR="00A21EAA" w:rsidRDefault="00A21EAA" w:rsidP="00A21EAA">
      <w:pPr>
        <w:spacing w:line="560" w:lineRule="exact"/>
        <w:ind w:firstLineChars="200" w:firstLine="640"/>
        <w:rPr>
          <w:rFonts w:eastAsia="方正仿宋简体" w:cs="仿宋"/>
          <w:color w:val="000000"/>
          <w:szCs w:val="32"/>
        </w:rPr>
      </w:pP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2024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年在市委的正确领导下，各级各部门坚持以习近平新时代中国特色社会主义思想为指导，全面贯彻落实党的二十大、二十届二中、三中全会精神，深入学习贯彻习近平总书记在福建考察时的重要讲话精神，认真贯彻落实省委拓展“深学争优、敢为争先、实干争效”行动部署，传承弘扬、创新发展“晋江经验”，聚焦落实大拼经济、大抓发展和“抓项目、促发展”系列专项行动，有效运用“财政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+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”理念，加强财政资源统筹运作，提质增效实施积极财政政策，扛牢财政安全平稳运行责任，为推进全市经济社会高质量发展提供坚实财力保障。</w:t>
      </w:r>
    </w:p>
    <w:p w:rsidR="00A21EAA" w:rsidRDefault="00A21EAA" w:rsidP="00A21EAA">
      <w:pPr>
        <w:spacing w:line="56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一、市本级财政收支决算及平衡情况</w:t>
      </w:r>
    </w:p>
    <w:p w:rsidR="00A21EAA" w:rsidRDefault="00A21EAA" w:rsidP="00A21EAA">
      <w:pPr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color w:val="000000"/>
          <w:szCs w:val="32"/>
        </w:rPr>
      </w:pPr>
      <w:r>
        <w:rPr>
          <w:rFonts w:ascii="方正楷体简体" w:eastAsia="方正楷体简体" w:hAnsi="方正楷体简体" w:cs="方正楷体简体" w:hint="eastAsia"/>
          <w:color w:val="000000"/>
          <w:sz w:val="32"/>
          <w:szCs w:val="32"/>
        </w:rPr>
        <w:t>（一）一般公共预算收支及其平衡情况</w:t>
      </w:r>
    </w:p>
    <w:p w:rsidR="00A21EAA" w:rsidRDefault="00A21EAA" w:rsidP="00A21EAA">
      <w:pPr>
        <w:spacing w:line="560" w:lineRule="exact"/>
        <w:ind w:firstLineChars="200" w:firstLine="640"/>
        <w:rPr>
          <w:rFonts w:eastAsia="方正仿宋简体" w:cs="仿宋"/>
          <w:color w:val="000000"/>
          <w:szCs w:val="32"/>
        </w:rPr>
      </w:pPr>
      <w:r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收支情况。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地方一般公共预算收入</w:t>
      </w:r>
      <w:r>
        <w:rPr>
          <w:rFonts w:eastAsia="方正仿宋简体" w:cs="仿宋" w:hint="eastAsia"/>
          <w:color w:val="000000"/>
          <w:sz w:val="32"/>
          <w:szCs w:val="32"/>
        </w:rPr>
        <w:t>100.61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亿元，比上年增</w:t>
      </w:r>
      <w:r>
        <w:rPr>
          <w:rFonts w:eastAsia="方正仿宋简体" w:cs="仿宋" w:hint="eastAsia"/>
          <w:color w:val="000000"/>
          <w:sz w:val="32"/>
          <w:szCs w:val="32"/>
        </w:rPr>
        <w:t>长</w:t>
      </w:r>
      <w:r>
        <w:rPr>
          <w:rFonts w:eastAsia="方正仿宋简体" w:cs="仿宋" w:hint="eastAsia"/>
          <w:color w:val="000000"/>
          <w:sz w:val="32"/>
          <w:szCs w:val="32"/>
        </w:rPr>
        <w:t>1.3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%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，完成年度预算的</w:t>
      </w:r>
      <w:r>
        <w:rPr>
          <w:rFonts w:eastAsia="方正仿宋简体" w:cs="仿宋" w:hint="eastAsia"/>
          <w:color w:val="000000"/>
          <w:sz w:val="32"/>
          <w:szCs w:val="32"/>
        </w:rPr>
        <w:t>95.9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，其中：小本级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地方一般公共预算收入</w:t>
      </w:r>
      <w:r>
        <w:rPr>
          <w:rFonts w:eastAsia="方正仿宋简体" w:cs="仿宋" w:hint="eastAsia"/>
          <w:color w:val="000000"/>
          <w:sz w:val="32"/>
          <w:szCs w:val="32"/>
        </w:rPr>
        <w:t>82.98</w:t>
      </w:r>
      <w:r>
        <w:rPr>
          <w:rFonts w:eastAsia="方正仿宋简体" w:cs="仿宋" w:hint="eastAsia"/>
          <w:color w:val="000000"/>
          <w:sz w:val="32"/>
          <w:szCs w:val="32"/>
        </w:rPr>
        <w:t>亿元，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完成年度预算的</w:t>
      </w:r>
      <w:r>
        <w:rPr>
          <w:rFonts w:eastAsia="方正仿宋简体" w:cs="Times New Roman" w:hint="eastAsia"/>
          <w:sz w:val="32"/>
          <w:szCs w:val="32"/>
        </w:rPr>
        <w:t>100.7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eastAsia="方正仿宋简体" w:cs="Times New Roman" w:hint="eastAsia"/>
          <w:sz w:val="32"/>
          <w:szCs w:val="32"/>
        </w:rPr>
        <w:t>；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泉州台商投资区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地方一般公共预算收入</w:t>
      </w:r>
      <w:r>
        <w:rPr>
          <w:rFonts w:eastAsia="方正仿宋简体" w:cs="仿宋" w:hint="eastAsia"/>
          <w:color w:val="000000"/>
          <w:sz w:val="32"/>
          <w:szCs w:val="32"/>
        </w:rPr>
        <w:t>17.63</w:t>
      </w:r>
      <w:r>
        <w:rPr>
          <w:rFonts w:eastAsia="方正仿宋简体" w:cs="仿宋" w:hint="eastAsia"/>
          <w:color w:val="000000"/>
          <w:sz w:val="32"/>
          <w:szCs w:val="32"/>
        </w:rPr>
        <w:t>亿元，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完成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年度预算的</w:t>
      </w:r>
      <w:r>
        <w:rPr>
          <w:rFonts w:eastAsia="方正仿宋简体" w:cs="Times New Roman" w:hint="eastAsia"/>
          <w:sz w:val="32"/>
          <w:szCs w:val="32"/>
        </w:rPr>
        <w:t>78.5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。一般公共预算支出</w:t>
      </w:r>
      <w:r>
        <w:rPr>
          <w:rFonts w:eastAsia="方正仿宋简体" w:cs="仿宋" w:hint="eastAsia"/>
          <w:color w:val="000000"/>
          <w:sz w:val="32"/>
          <w:szCs w:val="32"/>
        </w:rPr>
        <w:t>170.92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亿元，比上年增长</w:t>
      </w:r>
      <w:r>
        <w:rPr>
          <w:rFonts w:eastAsia="方正仿宋简体" w:cs="仿宋" w:hint="eastAsia"/>
          <w:color w:val="000000"/>
          <w:sz w:val="32"/>
          <w:szCs w:val="32"/>
        </w:rPr>
        <w:t>8.5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%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，完成年度预算的</w:t>
      </w:r>
      <w:r>
        <w:rPr>
          <w:rFonts w:eastAsia="方正仿宋简体" w:cs="仿宋" w:hint="eastAsia"/>
          <w:color w:val="000000"/>
          <w:sz w:val="32"/>
          <w:szCs w:val="32"/>
        </w:rPr>
        <w:t>95.2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，其中：小本级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一般公共预算支出</w:t>
      </w:r>
      <w:r>
        <w:rPr>
          <w:rFonts w:eastAsia="方正仿宋简体" w:cs="仿宋" w:hint="eastAsia"/>
          <w:color w:val="000000"/>
          <w:sz w:val="32"/>
          <w:szCs w:val="32"/>
        </w:rPr>
        <w:t>146.17</w:t>
      </w:r>
      <w:r>
        <w:rPr>
          <w:rFonts w:eastAsia="方正仿宋简体" w:cs="仿宋" w:hint="eastAsia"/>
          <w:color w:val="000000"/>
          <w:sz w:val="32"/>
          <w:szCs w:val="32"/>
        </w:rPr>
        <w:t>亿元，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完成年度预算的</w:t>
      </w:r>
      <w:r>
        <w:rPr>
          <w:rFonts w:eastAsia="方正仿宋简体" w:cs="Times New Roman" w:hint="eastAsia"/>
          <w:sz w:val="32"/>
          <w:szCs w:val="32"/>
        </w:rPr>
        <w:t>94.7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eastAsia="方正仿宋简体" w:cs="Times New Roman" w:hint="eastAsia"/>
          <w:sz w:val="32"/>
          <w:szCs w:val="32"/>
        </w:rPr>
        <w:t>；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泉州台商投资区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一般公共预算支出</w:t>
      </w:r>
      <w:r>
        <w:rPr>
          <w:rFonts w:eastAsia="方正仿宋简体" w:cs="仿宋" w:hint="eastAsia"/>
          <w:color w:val="000000"/>
          <w:sz w:val="32"/>
          <w:szCs w:val="32"/>
        </w:rPr>
        <w:t>24.75</w:t>
      </w:r>
      <w:r>
        <w:rPr>
          <w:rFonts w:eastAsia="方正仿宋简体" w:cs="仿宋" w:hint="eastAsia"/>
          <w:color w:val="000000"/>
          <w:sz w:val="32"/>
          <w:szCs w:val="32"/>
        </w:rPr>
        <w:t>亿元，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完成年度预算的</w:t>
      </w:r>
      <w:r>
        <w:rPr>
          <w:rFonts w:eastAsia="方正仿宋简体" w:cs="Times New Roman" w:hint="eastAsia"/>
          <w:sz w:val="32"/>
          <w:szCs w:val="32"/>
        </w:rPr>
        <w:t>98.4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。</w:t>
      </w:r>
    </w:p>
    <w:p w:rsidR="00A21EAA" w:rsidRDefault="00A21EAA" w:rsidP="00A21EAA">
      <w:pPr>
        <w:spacing w:line="560" w:lineRule="exact"/>
        <w:ind w:firstLineChars="200" w:firstLine="640"/>
        <w:rPr>
          <w:rFonts w:eastAsia="方正仿宋简体"/>
          <w:color w:val="000000"/>
          <w:szCs w:val="32"/>
        </w:rPr>
      </w:pPr>
      <w:r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  <w:t>平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衡情况。</w:t>
      </w:r>
      <w:r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  <w:t>收入合计</w:t>
      </w:r>
      <w:r>
        <w:rPr>
          <w:rFonts w:eastAsia="方正仿宋简体" w:cs="Times New Roman" w:hint="eastAsia"/>
          <w:color w:val="000000"/>
          <w:sz w:val="32"/>
          <w:szCs w:val="32"/>
        </w:rPr>
        <w:t>258.97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</w:t>
      </w:r>
      <w:r>
        <w:rPr>
          <w:rFonts w:eastAsia="方正仿宋简体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包括：地方一般公共预算收入</w:t>
      </w:r>
      <w:r>
        <w:rPr>
          <w:rFonts w:eastAsia="方正仿宋简体" w:cs="Times New Roman" w:hint="eastAsia"/>
          <w:color w:val="000000"/>
          <w:sz w:val="32"/>
          <w:szCs w:val="32"/>
        </w:rPr>
        <w:t>100.61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亿元，上级补助收入</w:t>
      </w:r>
      <w:r>
        <w:rPr>
          <w:rFonts w:eastAsia="方正仿宋简体" w:cs="Times New Roman" w:hint="eastAsia"/>
          <w:color w:val="000000"/>
          <w:sz w:val="32"/>
          <w:szCs w:val="32"/>
        </w:rPr>
        <w:t>66.15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亿元，下级上解收入</w:t>
      </w:r>
      <w:r>
        <w:rPr>
          <w:rFonts w:eastAsia="方正仿宋简体" w:cs="Times New Roman" w:hint="eastAsia"/>
          <w:color w:val="000000"/>
          <w:sz w:val="32"/>
          <w:szCs w:val="32"/>
        </w:rPr>
        <w:t>30.18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亿元，上年结余</w:t>
      </w:r>
      <w:r>
        <w:rPr>
          <w:rFonts w:eastAsia="方正仿宋简体" w:cs="Times New Roman" w:hint="eastAsia"/>
          <w:color w:val="000000"/>
          <w:sz w:val="32"/>
          <w:szCs w:val="32"/>
        </w:rPr>
        <w:t>22.4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亿元，政府一般债券转贷收入</w:t>
      </w:r>
      <w:r>
        <w:rPr>
          <w:rFonts w:eastAsia="方正仿宋简体" w:cs="Times New Roman" w:hint="eastAsia"/>
          <w:color w:val="000000"/>
          <w:sz w:val="32"/>
          <w:szCs w:val="32"/>
        </w:rPr>
        <w:t>17.1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亿元，调入预算稳定调节基金</w:t>
      </w:r>
      <w:r>
        <w:rPr>
          <w:rFonts w:eastAsia="方正仿宋简体" w:cs="Times New Roman" w:hint="eastAsia"/>
          <w:color w:val="000000"/>
          <w:sz w:val="32"/>
          <w:szCs w:val="32"/>
        </w:rPr>
        <w:t>7.83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亿元，调入资金</w:t>
      </w:r>
      <w:r>
        <w:rPr>
          <w:rFonts w:eastAsia="方正仿宋简体" w:cs="Times New Roman" w:hint="eastAsia"/>
          <w:color w:val="000000"/>
          <w:sz w:val="32"/>
          <w:szCs w:val="32"/>
        </w:rPr>
        <w:t>14.7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亿元。</w:t>
      </w:r>
      <w:r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  <w:t>支出合计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232.</w:t>
      </w:r>
      <w:r>
        <w:rPr>
          <w:rFonts w:eastAsia="方正仿宋简体" w:cs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包括：一般公共预算支出</w:t>
      </w:r>
      <w:r>
        <w:rPr>
          <w:rFonts w:eastAsia="方正仿宋简体" w:cs="Times New Roman" w:hint="eastAsia"/>
          <w:color w:val="000000"/>
          <w:sz w:val="32"/>
          <w:szCs w:val="32"/>
        </w:rPr>
        <w:t>170.92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亿元，上解上级支出</w:t>
      </w:r>
      <w:r>
        <w:rPr>
          <w:rFonts w:eastAsia="方正仿宋简体" w:cs="Times New Roman" w:hint="eastAsia"/>
          <w:color w:val="000000"/>
          <w:sz w:val="32"/>
          <w:szCs w:val="32"/>
        </w:rPr>
        <w:t>12.39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亿元，补助下级支出</w:t>
      </w:r>
      <w:r>
        <w:rPr>
          <w:rFonts w:eastAsia="方正仿宋简体" w:cs="Times New Roman" w:hint="eastAsia"/>
          <w:color w:val="000000"/>
          <w:sz w:val="32"/>
          <w:szCs w:val="32"/>
        </w:rPr>
        <w:t>27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亿元，政府一般债券转贷支出</w:t>
      </w:r>
      <w:r>
        <w:rPr>
          <w:rFonts w:eastAsia="方正仿宋简体" w:cs="Times New Roman" w:hint="eastAsia"/>
          <w:color w:val="000000"/>
          <w:sz w:val="32"/>
          <w:szCs w:val="32"/>
        </w:rPr>
        <w:t>14.8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亿元，援助其他地区支出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0.07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亿元，安排预算稳定调节基金</w:t>
      </w:r>
      <w:r>
        <w:rPr>
          <w:rFonts w:eastAsia="方正仿宋简体" w:cs="Times New Roman" w:hint="eastAsia"/>
          <w:color w:val="000000"/>
          <w:sz w:val="32"/>
          <w:szCs w:val="32"/>
        </w:rPr>
        <w:t>7.12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亿元。</w:t>
      </w:r>
      <w:r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  <w:t>收支相抵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，一般公共预算年终结余</w:t>
      </w:r>
      <w:r>
        <w:rPr>
          <w:rFonts w:eastAsia="方正仿宋简体" w:cs="Times New Roman" w:hint="eastAsia"/>
          <w:color w:val="000000"/>
          <w:sz w:val="32"/>
          <w:szCs w:val="32"/>
        </w:rPr>
        <w:t>26.67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亿元。</w:t>
      </w:r>
    </w:p>
    <w:p w:rsidR="00A21EAA" w:rsidRDefault="00A21EAA" w:rsidP="00A21EAA">
      <w:pPr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（二）政府性基金预算收支及其平衡情况</w:t>
      </w:r>
    </w:p>
    <w:p w:rsidR="00A21EAA" w:rsidRDefault="00A21EAA" w:rsidP="00A21EAA">
      <w:pPr>
        <w:spacing w:line="560" w:lineRule="exact"/>
        <w:ind w:firstLineChars="200" w:firstLine="640"/>
        <w:rPr>
          <w:rFonts w:eastAsia="方正仿宋简体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收支</w:t>
      </w:r>
      <w:r>
        <w:rPr>
          <w:rFonts w:ascii="Times New Roman" w:eastAsia="方正仿宋简体" w:hAnsi="Times New Roman" w:cs="Times New Roman"/>
          <w:b/>
          <w:sz w:val="32"/>
          <w:szCs w:val="32"/>
        </w:rPr>
        <w:t>情况。</w:t>
      </w:r>
      <w:r>
        <w:rPr>
          <w:rFonts w:ascii="Times New Roman" w:eastAsia="方正仿宋简体" w:hAnsi="Times New Roman" w:cs="Times New Roman"/>
          <w:sz w:val="32"/>
          <w:szCs w:val="32"/>
        </w:rPr>
        <w:t>政府性基金</w:t>
      </w:r>
      <w:r>
        <w:rPr>
          <w:rFonts w:eastAsia="方正仿宋简体" w:cs="Times New Roman" w:hint="eastAsia"/>
          <w:sz w:val="32"/>
          <w:szCs w:val="32"/>
        </w:rPr>
        <w:t>预算</w:t>
      </w:r>
      <w:r>
        <w:rPr>
          <w:rFonts w:ascii="Times New Roman" w:eastAsia="方正仿宋简体" w:hAnsi="Times New Roman" w:cs="Times New Roman"/>
          <w:sz w:val="32"/>
          <w:szCs w:val="32"/>
        </w:rPr>
        <w:t>收入</w:t>
      </w:r>
      <w:r>
        <w:rPr>
          <w:rFonts w:eastAsia="方正仿宋简体" w:cs="Times New Roman" w:hint="eastAsia"/>
          <w:sz w:val="32"/>
          <w:szCs w:val="32"/>
        </w:rPr>
        <w:t>147.93</w:t>
      </w:r>
      <w:r>
        <w:rPr>
          <w:rFonts w:ascii="Times New Roman" w:eastAsia="方正仿宋简体" w:hAnsi="Times New Roman" w:cs="Times New Roman"/>
          <w:sz w:val="32"/>
          <w:szCs w:val="32"/>
        </w:rPr>
        <w:t>亿元，比上年</w:t>
      </w:r>
      <w:r>
        <w:rPr>
          <w:rFonts w:eastAsia="方正仿宋简体" w:cs="Times New Roman" w:hint="eastAsia"/>
          <w:sz w:val="32"/>
          <w:szCs w:val="32"/>
        </w:rPr>
        <w:t>下降</w:t>
      </w:r>
      <w:r>
        <w:rPr>
          <w:rFonts w:eastAsia="方正仿宋简体" w:cs="Times New Roman" w:hint="eastAsia"/>
          <w:sz w:val="32"/>
          <w:szCs w:val="32"/>
        </w:rPr>
        <w:t>6.4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，完成年度预算的</w:t>
      </w:r>
      <w:r>
        <w:rPr>
          <w:rFonts w:eastAsia="方正仿宋简体" w:cs="Times New Roman" w:hint="eastAsia"/>
          <w:sz w:val="32"/>
          <w:szCs w:val="32"/>
        </w:rPr>
        <w:t>89.2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，其中：小本级</w:t>
      </w:r>
      <w:r>
        <w:rPr>
          <w:rFonts w:ascii="Times New Roman" w:eastAsia="方正仿宋简体" w:hAnsi="Times New Roman" w:cs="Times New Roman"/>
          <w:sz w:val="32"/>
          <w:szCs w:val="32"/>
        </w:rPr>
        <w:t>政府性基金</w:t>
      </w:r>
      <w:r>
        <w:rPr>
          <w:rFonts w:eastAsia="方正仿宋简体" w:cs="Times New Roman" w:hint="eastAsia"/>
          <w:sz w:val="32"/>
          <w:szCs w:val="32"/>
        </w:rPr>
        <w:t>预算</w:t>
      </w:r>
      <w:r>
        <w:rPr>
          <w:rFonts w:ascii="Times New Roman" w:eastAsia="方正仿宋简体" w:hAnsi="Times New Roman" w:cs="Times New Roman"/>
          <w:sz w:val="32"/>
          <w:szCs w:val="32"/>
        </w:rPr>
        <w:t>收入</w:t>
      </w:r>
      <w:r>
        <w:rPr>
          <w:rFonts w:eastAsia="方正仿宋简体" w:cs="Times New Roman" w:hint="eastAsia"/>
          <w:sz w:val="32"/>
          <w:szCs w:val="32"/>
        </w:rPr>
        <w:t>142.08</w:t>
      </w:r>
      <w:r>
        <w:rPr>
          <w:rFonts w:eastAsia="方正仿宋简体" w:cs="Times New Roman" w:hint="eastAsia"/>
          <w:sz w:val="32"/>
          <w:szCs w:val="32"/>
        </w:rPr>
        <w:t>亿元，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完成年度预算的</w:t>
      </w:r>
      <w:r>
        <w:rPr>
          <w:rFonts w:eastAsia="方正仿宋简体" w:cs="Times New Roman" w:hint="eastAsia"/>
          <w:sz w:val="32"/>
          <w:szCs w:val="32"/>
        </w:rPr>
        <w:t>136.1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eastAsia="方正仿宋简体" w:cs="Times New Roman" w:hint="eastAsia"/>
          <w:sz w:val="32"/>
          <w:szCs w:val="32"/>
        </w:rPr>
        <w:t>；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泉州台商投资区</w:t>
      </w:r>
      <w:r>
        <w:rPr>
          <w:rFonts w:ascii="Times New Roman" w:eastAsia="方正仿宋简体" w:hAnsi="Times New Roman" w:cs="Times New Roman"/>
          <w:sz w:val="32"/>
          <w:szCs w:val="32"/>
        </w:rPr>
        <w:t>政府性基金</w:t>
      </w:r>
      <w:r>
        <w:rPr>
          <w:rFonts w:eastAsia="方正仿宋简体" w:cs="Times New Roman" w:hint="eastAsia"/>
          <w:sz w:val="32"/>
          <w:szCs w:val="32"/>
        </w:rPr>
        <w:t>预算</w:t>
      </w:r>
      <w:r>
        <w:rPr>
          <w:rFonts w:ascii="Times New Roman" w:eastAsia="方正仿宋简体" w:hAnsi="Times New Roman" w:cs="Times New Roman"/>
          <w:sz w:val="32"/>
          <w:szCs w:val="32"/>
        </w:rPr>
        <w:t>收入</w:t>
      </w:r>
      <w:r>
        <w:rPr>
          <w:rFonts w:eastAsia="方正仿宋简体" w:cs="Times New Roman" w:hint="eastAsia"/>
          <w:sz w:val="32"/>
          <w:szCs w:val="32"/>
        </w:rPr>
        <w:t>5.85</w:t>
      </w:r>
      <w:r>
        <w:rPr>
          <w:rFonts w:eastAsia="方正仿宋简体" w:cs="Times New Roman" w:hint="eastAsia"/>
          <w:sz w:val="32"/>
          <w:szCs w:val="32"/>
        </w:rPr>
        <w:t>亿元，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完成年度预算的</w:t>
      </w:r>
      <w:r>
        <w:rPr>
          <w:rFonts w:eastAsia="方正仿宋简体" w:cs="Times New Roman" w:hint="eastAsia"/>
          <w:sz w:val="32"/>
          <w:szCs w:val="32"/>
        </w:rPr>
        <w:t>9.5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政府性基金</w:t>
      </w:r>
      <w:r>
        <w:rPr>
          <w:rFonts w:eastAsia="方正仿宋简体" w:cs="Times New Roman" w:hint="eastAsia"/>
          <w:sz w:val="32"/>
          <w:szCs w:val="32"/>
        </w:rPr>
        <w:t>预算</w:t>
      </w:r>
      <w:r>
        <w:rPr>
          <w:rFonts w:ascii="Times New Roman" w:eastAsia="方正仿宋简体" w:hAnsi="Times New Roman" w:cs="Times New Roman"/>
          <w:sz w:val="32"/>
          <w:szCs w:val="32"/>
        </w:rPr>
        <w:t>支出</w:t>
      </w:r>
      <w:r>
        <w:rPr>
          <w:rFonts w:eastAsia="方正仿宋简体" w:cs="Times New Roman" w:hint="eastAsia"/>
          <w:sz w:val="32"/>
          <w:szCs w:val="32"/>
        </w:rPr>
        <w:t>181.11</w:t>
      </w:r>
      <w:r>
        <w:rPr>
          <w:rFonts w:ascii="Times New Roman" w:eastAsia="方正仿宋简体" w:hAnsi="Times New Roman" w:cs="Times New Roman"/>
          <w:sz w:val="32"/>
          <w:szCs w:val="32"/>
        </w:rPr>
        <w:t>亿元，比上年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增长</w:t>
      </w:r>
      <w:r>
        <w:rPr>
          <w:rFonts w:eastAsia="方正仿宋简体" w:cs="Times New Roman" w:hint="eastAsia"/>
          <w:sz w:val="32"/>
          <w:szCs w:val="32"/>
        </w:rPr>
        <w:t>27.4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，完成年度预算的</w:t>
      </w:r>
      <w:r>
        <w:rPr>
          <w:rFonts w:eastAsia="方正仿宋简体" w:cs="Times New Roman" w:hint="eastAsia"/>
          <w:sz w:val="32"/>
          <w:szCs w:val="32"/>
        </w:rPr>
        <w:t>117.4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eastAsia="方正仿宋简体" w:cs="Times New Roman" w:hint="eastAsia"/>
          <w:sz w:val="32"/>
          <w:szCs w:val="32"/>
        </w:rPr>
        <w:t>，其中：小本级政府性基金预算支出</w:t>
      </w:r>
      <w:r>
        <w:rPr>
          <w:rFonts w:eastAsia="方正仿宋简体" w:cs="Times New Roman" w:hint="eastAsia"/>
          <w:sz w:val="32"/>
          <w:szCs w:val="32"/>
        </w:rPr>
        <w:t>133.08</w:t>
      </w:r>
      <w:r>
        <w:rPr>
          <w:rFonts w:eastAsia="方正仿宋简体" w:cs="Times New Roman" w:hint="eastAsia"/>
          <w:sz w:val="32"/>
          <w:szCs w:val="32"/>
        </w:rPr>
        <w:t>亿元，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完成年度预算的</w:t>
      </w:r>
      <w:r>
        <w:rPr>
          <w:rFonts w:eastAsia="方正仿宋简体" w:cs="Times New Roman" w:hint="eastAsia"/>
          <w:sz w:val="32"/>
          <w:szCs w:val="32"/>
        </w:rPr>
        <w:t>196.8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eastAsia="方正仿宋简体" w:cs="Times New Roman" w:hint="eastAsia"/>
          <w:sz w:val="32"/>
          <w:szCs w:val="32"/>
        </w:rPr>
        <w:t>；</w:t>
      </w:r>
      <w:r>
        <w:rPr>
          <w:rFonts w:eastAsia="方正仿宋简体" w:cs="Times New Roman" w:hint="eastAsia"/>
          <w:sz w:val="32"/>
          <w:szCs w:val="32"/>
        </w:rPr>
        <w:lastRenderedPageBreak/>
        <w:t>泉州台商投资区政府性基金预算支出</w:t>
      </w:r>
      <w:r>
        <w:rPr>
          <w:rFonts w:eastAsia="方正仿宋简体" w:cs="Times New Roman" w:hint="eastAsia"/>
          <w:sz w:val="32"/>
          <w:szCs w:val="32"/>
        </w:rPr>
        <w:t>48.03</w:t>
      </w:r>
      <w:r>
        <w:rPr>
          <w:rFonts w:eastAsia="方正仿宋简体" w:cs="Times New Roman" w:hint="eastAsia"/>
          <w:sz w:val="32"/>
          <w:szCs w:val="32"/>
        </w:rPr>
        <w:t>亿元，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完成年度预算的</w:t>
      </w:r>
      <w:r>
        <w:rPr>
          <w:rFonts w:eastAsia="方正仿宋简体" w:cs="Times New Roman" w:hint="eastAsia"/>
          <w:sz w:val="32"/>
          <w:szCs w:val="32"/>
        </w:rPr>
        <w:t>55.5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A21EAA" w:rsidRDefault="00A21EAA" w:rsidP="00A21EAA">
      <w:pPr>
        <w:spacing w:line="560" w:lineRule="exact"/>
        <w:ind w:firstLineChars="200" w:firstLine="640"/>
        <w:rPr>
          <w:rFonts w:eastAsia="方正仿宋简体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平衡</w:t>
      </w:r>
      <w:r>
        <w:rPr>
          <w:rFonts w:ascii="Times New Roman" w:eastAsia="方正仿宋简体" w:hAnsi="Times New Roman" w:cs="Times New Roman"/>
          <w:b/>
          <w:sz w:val="32"/>
          <w:szCs w:val="32"/>
        </w:rPr>
        <w:t>情况。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收入合计</w:t>
      </w:r>
      <w:r>
        <w:rPr>
          <w:rFonts w:eastAsia="方正仿宋简体" w:cs="Times New Roman" w:hint="eastAsia"/>
          <w:sz w:val="32"/>
          <w:szCs w:val="32"/>
        </w:rPr>
        <w:t>52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1.24</w:t>
      </w:r>
      <w:r>
        <w:rPr>
          <w:rFonts w:ascii="Times New Roman" w:eastAsia="方正仿宋简体" w:hAnsi="Times New Roman" w:cs="Times New Roman"/>
          <w:sz w:val="32"/>
          <w:szCs w:val="32"/>
        </w:rPr>
        <w:t>亿元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包括：政府性基金</w:t>
      </w:r>
      <w:r>
        <w:rPr>
          <w:rFonts w:eastAsia="方正仿宋简体" w:cs="Times New Roman" w:hint="eastAsia"/>
          <w:sz w:val="32"/>
          <w:szCs w:val="32"/>
        </w:rPr>
        <w:t>预算</w:t>
      </w:r>
      <w:r>
        <w:rPr>
          <w:rFonts w:ascii="Times New Roman" w:eastAsia="方正仿宋简体" w:hAnsi="Times New Roman" w:cs="Times New Roman"/>
          <w:sz w:val="32"/>
          <w:szCs w:val="32"/>
        </w:rPr>
        <w:t>收入</w:t>
      </w:r>
      <w:r>
        <w:rPr>
          <w:rFonts w:eastAsia="方正仿宋简体" w:cs="Times New Roman" w:hint="eastAsia"/>
          <w:sz w:val="32"/>
          <w:szCs w:val="32"/>
        </w:rPr>
        <w:t>147.93</w:t>
      </w:r>
      <w:r>
        <w:rPr>
          <w:rFonts w:ascii="Times New Roman" w:eastAsia="方正仿宋简体" w:hAnsi="Times New Roman" w:cs="Times New Roman"/>
          <w:sz w:val="32"/>
          <w:szCs w:val="32"/>
        </w:rPr>
        <w:t>亿元，上级补助收入</w:t>
      </w:r>
      <w:r>
        <w:rPr>
          <w:rFonts w:eastAsia="方正仿宋简体" w:cs="Times New Roman" w:hint="eastAsia"/>
          <w:sz w:val="32"/>
          <w:szCs w:val="32"/>
        </w:rPr>
        <w:t>13.16</w:t>
      </w:r>
      <w:r>
        <w:rPr>
          <w:rFonts w:ascii="Times New Roman" w:eastAsia="方正仿宋简体" w:hAnsi="Times New Roman" w:cs="Times New Roman"/>
          <w:sz w:val="32"/>
          <w:szCs w:val="32"/>
        </w:rPr>
        <w:t>亿元，政府专项债券转贷收入</w:t>
      </w:r>
      <w:r>
        <w:rPr>
          <w:rFonts w:eastAsia="方正仿宋简体" w:cs="Times New Roman" w:hint="eastAsia"/>
          <w:sz w:val="32"/>
          <w:szCs w:val="32"/>
        </w:rPr>
        <w:t>314.65</w:t>
      </w:r>
      <w:r>
        <w:rPr>
          <w:rFonts w:ascii="Times New Roman" w:eastAsia="方正仿宋简体" w:hAnsi="Times New Roman" w:cs="Times New Roman"/>
          <w:sz w:val="32"/>
          <w:szCs w:val="32"/>
        </w:rPr>
        <w:t>亿元，上年结余</w:t>
      </w:r>
      <w:r>
        <w:rPr>
          <w:rFonts w:eastAsia="方正仿宋简体" w:cs="Times New Roman" w:hint="eastAsia"/>
          <w:sz w:val="32"/>
          <w:szCs w:val="32"/>
        </w:rPr>
        <w:t>21.38</w:t>
      </w:r>
      <w:r>
        <w:rPr>
          <w:rFonts w:ascii="Times New Roman" w:eastAsia="方正仿宋简体" w:hAnsi="Times New Roman" w:cs="Times New Roman"/>
          <w:sz w:val="32"/>
          <w:szCs w:val="32"/>
        </w:rPr>
        <w:t>亿元，调入资金</w:t>
      </w:r>
      <w:r>
        <w:rPr>
          <w:rFonts w:eastAsia="方正仿宋简体" w:cs="Times New Roman" w:hint="eastAsia"/>
          <w:sz w:val="32"/>
          <w:szCs w:val="32"/>
        </w:rPr>
        <w:t>24.12</w:t>
      </w:r>
      <w:r>
        <w:rPr>
          <w:rFonts w:ascii="Times New Roman" w:eastAsia="方正仿宋简体" w:hAnsi="Times New Roman" w:cs="Times New Roman"/>
          <w:sz w:val="32"/>
          <w:szCs w:val="32"/>
        </w:rPr>
        <w:t>亿元。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支出合计</w:t>
      </w:r>
      <w:r>
        <w:rPr>
          <w:rFonts w:eastAsia="方正仿宋简体" w:cs="Times New Roman" w:hint="eastAsia"/>
          <w:sz w:val="32"/>
          <w:szCs w:val="32"/>
        </w:rPr>
        <w:t>494.69</w:t>
      </w:r>
      <w:r>
        <w:rPr>
          <w:rFonts w:ascii="Times New Roman" w:eastAsia="方正仿宋简体" w:hAnsi="Times New Roman" w:cs="Times New Roman"/>
          <w:sz w:val="32"/>
          <w:szCs w:val="32"/>
        </w:rPr>
        <w:t>亿元</w:t>
      </w:r>
      <w:r>
        <w:rPr>
          <w:rFonts w:eastAsia="方正仿宋简体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包括：政府性基金</w:t>
      </w:r>
      <w:r>
        <w:rPr>
          <w:rFonts w:eastAsia="方正仿宋简体" w:cs="Times New Roman" w:hint="eastAsia"/>
          <w:sz w:val="32"/>
          <w:szCs w:val="32"/>
        </w:rPr>
        <w:t>预算</w:t>
      </w:r>
      <w:r>
        <w:rPr>
          <w:rFonts w:ascii="Times New Roman" w:eastAsia="方正仿宋简体" w:hAnsi="Times New Roman" w:cs="Times New Roman"/>
          <w:sz w:val="32"/>
          <w:szCs w:val="32"/>
        </w:rPr>
        <w:t>支出</w:t>
      </w:r>
      <w:r>
        <w:rPr>
          <w:rFonts w:eastAsia="方正仿宋简体" w:cs="Times New Roman" w:hint="eastAsia"/>
          <w:sz w:val="32"/>
          <w:szCs w:val="32"/>
        </w:rPr>
        <w:t>181.11</w:t>
      </w:r>
      <w:r>
        <w:rPr>
          <w:rFonts w:ascii="Times New Roman" w:eastAsia="方正仿宋简体" w:hAnsi="Times New Roman" w:cs="Times New Roman"/>
          <w:sz w:val="32"/>
          <w:szCs w:val="32"/>
        </w:rPr>
        <w:t>亿元，对下转移支付补助支出</w:t>
      </w:r>
      <w:r>
        <w:rPr>
          <w:rFonts w:eastAsia="方正仿宋简体" w:cs="Times New Roman" w:hint="eastAsia"/>
          <w:sz w:val="32"/>
          <w:szCs w:val="32"/>
        </w:rPr>
        <w:t>33</w:t>
      </w:r>
      <w:r>
        <w:rPr>
          <w:rFonts w:ascii="Times New Roman" w:eastAsia="方正仿宋简体" w:hAnsi="Times New Roman" w:cs="Times New Roman"/>
          <w:sz w:val="32"/>
          <w:szCs w:val="32"/>
        </w:rPr>
        <w:t>亿元，政府专项债券转贷支出</w:t>
      </w:r>
      <w:r>
        <w:rPr>
          <w:rFonts w:eastAsia="方正仿宋简体" w:cs="Times New Roman" w:hint="eastAsia"/>
          <w:sz w:val="32"/>
          <w:szCs w:val="32"/>
        </w:rPr>
        <w:t>246.81</w:t>
      </w:r>
      <w:r>
        <w:rPr>
          <w:rFonts w:ascii="Times New Roman" w:eastAsia="方正仿宋简体" w:hAnsi="Times New Roman" w:cs="Times New Roman"/>
          <w:sz w:val="32"/>
          <w:szCs w:val="32"/>
        </w:rPr>
        <w:t>亿元，政府专项债券还本支出</w:t>
      </w:r>
      <w:r>
        <w:rPr>
          <w:rFonts w:eastAsia="方正仿宋简体" w:cs="Times New Roman" w:hint="eastAsia"/>
          <w:sz w:val="32"/>
          <w:szCs w:val="32"/>
        </w:rPr>
        <w:t>23.76</w:t>
      </w:r>
      <w:r>
        <w:rPr>
          <w:rFonts w:ascii="Times New Roman" w:eastAsia="方正仿宋简体" w:hAnsi="Times New Roman" w:cs="Times New Roman"/>
          <w:sz w:val="32"/>
          <w:szCs w:val="32"/>
        </w:rPr>
        <w:t>亿元，调出资金</w:t>
      </w:r>
      <w:r>
        <w:rPr>
          <w:rFonts w:eastAsia="方正仿宋简体" w:cs="Times New Roman" w:hint="eastAsia"/>
          <w:sz w:val="32"/>
          <w:szCs w:val="32"/>
        </w:rPr>
        <w:t>10.01</w:t>
      </w:r>
      <w:r>
        <w:rPr>
          <w:rFonts w:ascii="Times New Roman" w:eastAsia="方正仿宋简体" w:hAnsi="Times New Roman" w:cs="Times New Roman"/>
          <w:sz w:val="32"/>
          <w:szCs w:val="32"/>
        </w:rPr>
        <w:t>亿元。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收支相抵</w:t>
      </w:r>
      <w:r>
        <w:rPr>
          <w:rFonts w:ascii="Times New Roman" w:eastAsia="方正仿宋简体" w:hAnsi="Times New Roman" w:cs="Times New Roman"/>
          <w:sz w:val="32"/>
          <w:szCs w:val="32"/>
        </w:rPr>
        <w:t>，政府性基金年终结余</w:t>
      </w:r>
      <w:r>
        <w:rPr>
          <w:rFonts w:eastAsia="方正仿宋简体" w:cs="Times New Roman" w:hint="eastAsia"/>
          <w:sz w:val="32"/>
          <w:szCs w:val="32"/>
        </w:rPr>
        <w:t>26.55</w:t>
      </w:r>
      <w:r>
        <w:rPr>
          <w:rFonts w:ascii="Times New Roman" w:eastAsia="方正仿宋简体" w:hAnsi="Times New Roman" w:cs="Times New Roman"/>
          <w:sz w:val="32"/>
          <w:szCs w:val="32"/>
        </w:rPr>
        <w:t>亿元。</w:t>
      </w:r>
    </w:p>
    <w:p w:rsidR="00A21EAA" w:rsidRDefault="00A21EAA" w:rsidP="00A21EAA">
      <w:pPr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color w:val="000000"/>
          <w:szCs w:val="32"/>
        </w:rPr>
      </w:pPr>
      <w:r>
        <w:rPr>
          <w:rFonts w:ascii="方正楷体简体" w:eastAsia="方正楷体简体" w:hAnsi="方正楷体简体" w:cs="方正楷体简体" w:hint="eastAsia"/>
          <w:color w:val="000000"/>
          <w:sz w:val="32"/>
          <w:szCs w:val="32"/>
        </w:rPr>
        <w:t>（三）国有资本经营预算收支及其平衡情况</w:t>
      </w:r>
    </w:p>
    <w:p w:rsidR="00A21EAA" w:rsidRDefault="00A21EAA" w:rsidP="00A21EAA">
      <w:pPr>
        <w:spacing w:line="560" w:lineRule="exact"/>
        <w:ind w:firstLineChars="200" w:firstLine="640"/>
        <w:rPr>
          <w:rFonts w:eastAsia="方正仿宋简体"/>
          <w:color w:val="000000"/>
          <w:szCs w:val="32"/>
        </w:rPr>
      </w:pPr>
      <w:r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  <w:t>收支情况。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国有资本经营预算收入</w:t>
      </w:r>
      <w:r>
        <w:rPr>
          <w:rFonts w:eastAsia="方正仿宋简体" w:cs="Times New Roman" w:hint="eastAsia"/>
          <w:color w:val="000000"/>
          <w:sz w:val="32"/>
          <w:szCs w:val="32"/>
        </w:rPr>
        <w:t>6.47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亿元，比上年</w:t>
      </w:r>
      <w:r>
        <w:rPr>
          <w:rFonts w:eastAsia="方正仿宋简体" w:cs="Times New Roman" w:hint="eastAsia"/>
          <w:color w:val="000000"/>
          <w:sz w:val="32"/>
          <w:szCs w:val="32"/>
        </w:rPr>
        <w:t>下降</w:t>
      </w:r>
      <w:r>
        <w:rPr>
          <w:rFonts w:eastAsia="方正仿宋简体" w:cs="Times New Roman" w:hint="eastAsia"/>
          <w:color w:val="000000"/>
          <w:sz w:val="32"/>
          <w:szCs w:val="32"/>
        </w:rPr>
        <w:t>2.8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，完成年度预算的</w:t>
      </w:r>
      <w:r>
        <w:rPr>
          <w:rFonts w:eastAsia="方正仿宋简体" w:cs="Times New Roman" w:hint="eastAsia"/>
          <w:color w:val="000000"/>
          <w:sz w:val="32"/>
          <w:szCs w:val="32"/>
        </w:rPr>
        <w:t>99.9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%</w:t>
      </w:r>
      <w:r>
        <w:rPr>
          <w:rFonts w:eastAsia="方正仿宋简体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其中：小本级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国有资本经营预算</w:t>
      </w:r>
      <w:r>
        <w:rPr>
          <w:rFonts w:ascii="Times New Roman" w:eastAsia="方正仿宋简体" w:hAnsi="Times New Roman" w:cs="Times New Roman"/>
          <w:sz w:val="32"/>
          <w:szCs w:val="32"/>
        </w:rPr>
        <w:t>收入</w:t>
      </w:r>
      <w:r>
        <w:rPr>
          <w:rFonts w:eastAsia="方正仿宋简体" w:cs="Times New Roman" w:hint="eastAsia"/>
          <w:sz w:val="32"/>
          <w:szCs w:val="32"/>
        </w:rPr>
        <w:t>6.45</w:t>
      </w:r>
      <w:r>
        <w:rPr>
          <w:rFonts w:eastAsia="方正仿宋简体" w:cs="Times New Roman" w:hint="eastAsia"/>
          <w:sz w:val="32"/>
          <w:szCs w:val="32"/>
        </w:rPr>
        <w:t>亿元，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完成年度预算的</w:t>
      </w:r>
      <w:r>
        <w:rPr>
          <w:rFonts w:eastAsia="方正仿宋简体" w:cs="Times New Roman" w:hint="eastAsia"/>
          <w:sz w:val="32"/>
          <w:szCs w:val="32"/>
        </w:rPr>
        <w:t>99.9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eastAsia="方正仿宋简体" w:cs="Times New Roman" w:hint="eastAsia"/>
          <w:sz w:val="32"/>
          <w:szCs w:val="32"/>
        </w:rPr>
        <w:t>；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泉州台商投资区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国有资本经营预算</w:t>
      </w:r>
      <w:r>
        <w:rPr>
          <w:rFonts w:ascii="Times New Roman" w:eastAsia="方正仿宋简体" w:hAnsi="Times New Roman" w:cs="Times New Roman"/>
          <w:sz w:val="32"/>
          <w:szCs w:val="32"/>
        </w:rPr>
        <w:t>收入</w:t>
      </w:r>
      <w:r>
        <w:rPr>
          <w:rFonts w:eastAsia="方正仿宋简体" w:cs="Times New Roman" w:hint="eastAsia"/>
          <w:sz w:val="32"/>
          <w:szCs w:val="32"/>
        </w:rPr>
        <w:t>0.02</w:t>
      </w:r>
      <w:r>
        <w:rPr>
          <w:rFonts w:eastAsia="方正仿宋简体" w:cs="Times New Roman" w:hint="eastAsia"/>
          <w:sz w:val="32"/>
          <w:szCs w:val="32"/>
        </w:rPr>
        <w:t>亿元，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完成年度预算的</w:t>
      </w:r>
      <w:r>
        <w:rPr>
          <w:rFonts w:eastAsia="方正仿宋简体" w:cs="Times New Roman" w:hint="eastAsia"/>
          <w:sz w:val="32"/>
          <w:szCs w:val="32"/>
        </w:rPr>
        <w:t>108.1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。国有资本经营预算支出</w:t>
      </w:r>
      <w:r>
        <w:rPr>
          <w:rFonts w:eastAsia="方正仿宋简体" w:cs="Times New Roman" w:hint="eastAsia"/>
          <w:color w:val="000000"/>
          <w:sz w:val="32"/>
          <w:szCs w:val="32"/>
        </w:rPr>
        <w:t>5.97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亿元，比上年</w:t>
      </w:r>
      <w:r>
        <w:rPr>
          <w:rFonts w:eastAsia="方正仿宋简体" w:cs="Times New Roman" w:hint="eastAsia"/>
          <w:color w:val="000000"/>
          <w:sz w:val="32"/>
          <w:szCs w:val="32"/>
        </w:rPr>
        <w:t>下降</w:t>
      </w:r>
      <w:r>
        <w:rPr>
          <w:rFonts w:eastAsia="方正仿宋简体" w:cs="Times New Roman" w:hint="eastAsia"/>
          <w:color w:val="000000"/>
          <w:sz w:val="32"/>
          <w:szCs w:val="32"/>
        </w:rPr>
        <w:t>6.7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，完成年度预算的</w:t>
      </w:r>
      <w:r>
        <w:rPr>
          <w:rFonts w:eastAsia="方正仿宋简体" w:cs="Times New Roman" w:hint="eastAsia"/>
          <w:color w:val="000000"/>
          <w:sz w:val="32"/>
          <w:szCs w:val="32"/>
        </w:rPr>
        <w:t>104.2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%</w:t>
      </w:r>
      <w:r>
        <w:rPr>
          <w:rFonts w:eastAsia="方正仿宋简体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其中：小本级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国有资本经营预算</w:t>
      </w:r>
      <w:r>
        <w:rPr>
          <w:rFonts w:eastAsia="方正仿宋简体" w:cs="Times New Roman" w:hint="eastAsia"/>
          <w:sz w:val="32"/>
          <w:szCs w:val="32"/>
        </w:rPr>
        <w:t>支出</w:t>
      </w:r>
      <w:r>
        <w:rPr>
          <w:rFonts w:eastAsia="方正仿宋简体" w:cs="Times New Roman" w:hint="eastAsia"/>
          <w:sz w:val="32"/>
          <w:szCs w:val="32"/>
        </w:rPr>
        <w:t>5.95</w:t>
      </w:r>
      <w:r>
        <w:rPr>
          <w:rFonts w:eastAsia="方正仿宋简体" w:cs="Times New Roman" w:hint="eastAsia"/>
          <w:sz w:val="32"/>
          <w:szCs w:val="32"/>
        </w:rPr>
        <w:t>亿元，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完成年度预算的</w:t>
      </w:r>
      <w:r>
        <w:rPr>
          <w:rFonts w:eastAsia="方正仿宋简体" w:cs="Times New Roman" w:hint="eastAsia"/>
          <w:sz w:val="32"/>
          <w:szCs w:val="32"/>
        </w:rPr>
        <w:t>104.2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eastAsia="方正仿宋简体" w:cs="Times New Roman" w:hint="eastAsia"/>
          <w:sz w:val="32"/>
          <w:szCs w:val="32"/>
        </w:rPr>
        <w:t>；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泉州台商投资区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国有资本经营预算</w:t>
      </w:r>
      <w:r>
        <w:rPr>
          <w:rFonts w:eastAsia="方正仿宋简体" w:cs="Times New Roman" w:hint="eastAsia"/>
          <w:sz w:val="32"/>
          <w:szCs w:val="32"/>
        </w:rPr>
        <w:t>支出</w:t>
      </w:r>
      <w:r>
        <w:rPr>
          <w:rFonts w:eastAsia="方正仿宋简体" w:cs="Times New Roman" w:hint="eastAsia"/>
          <w:sz w:val="32"/>
          <w:szCs w:val="32"/>
        </w:rPr>
        <w:t>0.02</w:t>
      </w:r>
      <w:r>
        <w:rPr>
          <w:rFonts w:eastAsia="方正仿宋简体" w:cs="Times New Roman" w:hint="eastAsia"/>
          <w:sz w:val="32"/>
          <w:szCs w:val="32"/>
        </w:rPr>
        <w:t>亿元，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完成年度预算的</w:t>
      </w:r>
      <w:r>
        <w:rPr>
          <w:rFonts w:eastAsia="方正仿宋简体" w:cs="Times New Roman" w:hint="eastAsia"/>
          <w:sz w:val="32"/>
          <w:szCs w:val="32"/>
        </w:rPr>
        <w:t>100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。</w:t>
      </w:r>
    </w:p>
    <w:p w:rsidR="00A21EAA" w:rsidRDefault="00A21EAA" w:rsidP="00A21EAA">
      <w:pPr>
        <w:spacing w:line="560" w:lineRule="exact"/>
        <w:ind w:firstLineChars="200" w:firstLine="640"/>
        <w:rPr>
          <w:rFonts w:eastAsia="方正仿宋简体"/>
          <w:b/>
          <w:color w:val="000000"/>
          <w:szCs w:val="32"/>
        </w:rPr>
      </w:pPr>
      <w:r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  <w:t>平衡情况。收入合计</w:t>
      </w:r>
      <w:r>
        <w:rPr>
          <w:rFonts w:eastAsia="方正仿宋简体" w:cs="Times New Roman" w:hint="eastAsia"/>
          <w:color w:val="000000"/>
          <w:sz w:val="32"/>
          <w:szCs w:val="32"/>
        </w:rPr>
        <w:t>6.47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</w:t>
      </w:r>
      <w:r>
        <w:rPr>
          <w:rFonts w:eastAsia="方正仿宋简体" w:cs="Times New Roman" w:hint="eastAsia"/>
          <w:color w:val="000000"/>
          <w:sz w:val="32"/>
          <w:szCs w:val="32"/>
        </w:rPr>
        <w:t>，即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国有资本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经营预算收入</w:t>
      </w:r>
      <w:r>
        <w:rPr>
          <w:rFonts w:eastAsia="方正仿宋简体" w:cs="Times New Roman" w:hint="eastAsia"/>
          <w:color w:val="000000"/>
          <w:sz w:val="32"/>
          <w:szCs w:val="32"/>
        </w:rPr>
        <w:t>6.47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亿元。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支出合计</w:t>
      </w:r>
      <w:r>
        <w:rPr>
          <w:rFonts w:eastAsia="方正仿宋简体" w:cs="Times New Roman" w:hint="eastAsia"/>
          <w:color w:val="000000"/>
          <w:sz w:val="32"/>
          <w:szCs w:val="32"/>
        </w:rPr>
        <w:t>6.27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</w:t>
      </w:r>
      <w:r>
        <w:rPr>
          <w:rFonts w:eastAsia="方正仿宋简体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包括：国有资本经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lastRenderedPageBreak/>
        <w:t>营预算支出</w:t>
      </w:r>
      <w:r>
        <w:rPr>
          <w:rFonts w:eastAsia="方正仿宋简体" w:cs="Times New Roman" w:hint="eastAsia"/>
          <w:color w:val="000000"/>
          <w:sz w:val="32"/>
          <w:szCs w:val="32"/>
        </w:rPr>
        <w:t>5.97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亿元，调出资金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0.</w:t>
      </w:r>
      <w:r>
        <w:rPr>
          <w:rFonts w:eastAsia="方正仿宋简体" w:cs="Times New Roman" w:hint="eastAsia"/>
          <w:color w:val="000000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亿元。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收支相抵</w:t>
      </w:r>
      <w:r>
        <w:rPr>
          <w:rFonts w:ascii="Times New Roman" w:eastAsia="方正仿宋简体" w:hAnsi="Times New Roman" w:cs="Times New Roman"/>
          <w:bCs/>
          <w:color w:val="000000"/>
          <w:sz w:val="32"/>
          <w:szCs w:val="32"/>
        </w:rPr>
        <w:t>，国有资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本经营预算年终结余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为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0</w:t>
      </w:r>
      <w:r>
        <w:rPr>
          <w:rFonts w:eastAsia="方正仿宋简体" w:cs="Times New Roman" w:hint="eastAsia"/>
          <w:color w:val="000000"/>
          <w:sz w:val="32"/>
          <w:szCs w:val="32"/>
        </w:rPr>
        <w:t>.2</w:t>
      </w:r>
      <w:r>
        <w:rPr>
          <w:rFonts w:eastAsia="方正仿宋简体" w:cs="Times New Roman" w:hint="eastAsia"/>
          <w:color w:val="000000"/>
          <w:sz w:val="32"/>
          <w:szCs w:val="32"/>
        </w:rPr>
        <w:t>亿元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。</w:t>
      </w:r>
    </w:p>
    <w:p w:rsidR="00A21EAA" w:rsidRDefault="00A21EAA" w:rsidP="00A21EAA">
      <w:pPr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（四）社会保险基金预算收支及其平衡情况</w:t>
      </w:r>
    </w:p>
    <w:p w:rsidR="00A21EAA" w:rsidRDefault="00A21EAA" w:rsidP="00A21EAA">
      <w:pPr>
        <w:spacing w:line="560" w:lineRule="exact"/>
        <w:ind w:firstLineChars="200" w:firstLine="640"/>
        <w:rPr>
          <w:rFonts w:eastAsia="方正仿宋简体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收支情况。</w:t>
      </w:r>
      <w:r>
        <w:rPr>
          <w:rFonts w:ascii="Times New Roman" w:eastAsia="方正仿宋简体" w:hAnsi="Times New Roman" w:cs="Times New Roman"/>
          <w:sz w:val="32"/>
          <w:szCs w:val="32"/>
        </w:rPr>
        <w:t>社会保险基金收入</w:t>
      </w:r>
      <w:r>
        <w:rPr>
          <w:rFonts w:eastAsia="方正仿宋简体" w:cs="Times New Roman" w:hint="eastAsia"/>
          <w:sz w:val="32"/>
          <w:szCs w:val="32"/>
        </w:rPr>
        <w:t>149.52</w:t>
      </w:r>
      <w:r>
        <w:rPr>
          <w:rFonts w:ascii="Times New Roman" w:eastAsia="方正仿宋简体" w:hAnsi="Times New Roman" w:cs="Times New Roman"/>
          <w:sz w:val="32"/>
          <w:szCs w:val="32"/>
        </w:rPr>
        <w:t>亿元，比上年增长</w:t>
      </w:r>
      <w:r>
        <w:rPr>
          <w:rFonts w:eastAsia="方正仿宋简体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，完成年度预算的</w:t>
      </w:r>
      <w:r>
        <w:rPr>
          <w:rFonts w:eastAsia="方正仿宋简体" w:cs="Times New Roman" w:hint="eastAsia"/>
          <w:sz w:val="32"/>
          <w:szCs w:val="32"/>
        </w:rPr>
        <w:t>102.9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eastAsia="方正仿宋简体" w:cs="Times New Roman" w:hint="eastAsia"/>
          <w:sz w:val="32"/>
          <w:szCs w:val="32"/>
        </w:rPr>
        <w:t>，其中：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小本级</w:t>
      </w:r>
      <w:r>
        <w:rPr>
          <w:rFonts w:eastAsia="方正仿宋简体" w:cs="Times New Roman" w:hint="eastAsia"/>
          <w:color w:val="000000"/>
          <w:sz w:val="32"/>
          <w:szCs w:val="32"/>
        </w:rPr>
        <w:t>社会保险基金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预算</w:t>
      </w:r>
      <w:r>
        <w:rPr>
          <w:rFonts w:ascii="Times New Roman" w:eastAsia="方正仿宋简体" w:hAnsi="Times New Roman" w:cs="Times New Roman"/>
          <w:sz w:val="32"/>
          <w:szCs w:val="32"/>
        </w:rPr>
        <w:t>收入</w:t>
      </w:r>
      <w:r>
        <w:rPr>
          <w:rFonts w:eastAsia="方正仿宋简体" w:cs="Times New Roman" w:hint="eastAsia"/>
          <w:sz w:val="32"/>
          <w:szCs w:val="32"/>
        </w:rPr>
        <w:t>147.39</w:t>
      </w:r>
      <w:r>
        <w:rPr>
          <w:rFonts w:eastAsia="方正仿宋简体" w:cs="Times New Roman" w:hint="eastAsia"/>
          <w:sz w:val="32"/>
          <w:szCs w:val="32"/>
        </w:rPr>
        <w:t>亿元，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完成年度预算的</w:t>
      </w:r>
      <w:r>
        <w:rPr>
          <w:rFonts w:eastAsia="方正仿宋简体" w:cs="Times New Roman" w:hint="eastAsia"/>
          <w:sz w:val="32"/>
          <w:szCs w:val="32"/>
        </w:rPr>
        <w:t>102.9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eastAsia="方正仿宋简体" w:cs="Times New Roman" w:hint="eastAsia"/>
          <w:sz w:val="32"/>
          <w:szCs w:val="32"/>
        </w:rPr>
        <w:t>；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泉州台商投资区</w:t>
      </w:r>
      <w:r>
        <w:rPr>
          <w:rFonts w:eastAsia="方正仿宋简体" w:cs="Times New Roman" w:hint="eastAsia"/>
          <w:color w:val="000000"/>
          <w:sz w:val="32"/>
          <w:szCs w:val="32"/>
        </w:rPr>
        <w:t>社会保险基金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预算</w:t>
      </w:r>
      <w:r>
        <w:rPr>
          <w:rFonts w:ascii="Times New Roman" w:eastAsia="方正仿宋简体" w:hAnsi="Times New Roman" w:cs="Times New Roman"/>
          <w:sz w:val="32"/>
          <w:szCs w:val="32"/>
        </w:rPr>
        <w:t>收入</w:t>
      </w:r>
      <w:r>
        <w:rPr>
          <w:rFonts w:eastAsia="方正仿宋简体" w:cs="Times New Roman" w:hint="eastAsia"/>
          <w:sz w:val="32"/>
          <w:szCs w:val="32"/>
        </w:rPr>
        <w:t>2.13</w:t>
      </w:r>
      <w:r>
        <w:rPr>
          <w:rFonts w:eastAsia="方正仿宋简体" w:cs="Times New Roman" w:hint="eastAsia"/>
          <w:sz w:val="32"/>
          <w:szCs w:val="32"/>
        </w:rPr>
        <w:t>亿元，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完成年度预算的</w:t>
      </w:r>
      <w:r>
        <w:rPr>
          <w:rFonts w:eastAsia="方正仿宋简体" w:cs="Times New Roman" w:hint="eastAsia"/>
          <w:sz w:val="32"/>
          <w:szCs w:val="32"/>
        </w:rPr>
        <w:t>103.3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。社会保险基金支出</w:t>
      </w:r>
      <w:r>
        <w:rPr>
          <w:rFonts w:eastAsia="方正仿宋简体" w:cs="Times New Roman" w:hint="eastAsia"/>
          <w:sz w:val="32"/>
          <w:szCs w:val="32"/>
        </w:rPr>
        <w:t>136.83</w:t>
      </w:r>
      <w:r>
        <w:rPr>
          <w:rFonts w:ascii="Times New Roman" w:eastAsia="方正仿宋简体" w:hAnsi="Times New Roman" w:cs="Times New Roman"/>
          <w:sz w:val="32"/>
          <w:szCs w:val="32"/>
        </w:rPr>
        <w:t>亿元，比上年增长</w:t>
      </w:r>
      <w:r>
        <w:rPr>
          <w:rFonts w:eastAsia="方正仿宋简体" w:cs="Times New Roman" w:hint="eastAsia"/>
          <w:sz w:val="32"/>
          <w:szCs w:val="32"/>
        </w:rPr>
        <w:t>4.4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，完成年度预算的</w:t>
      </w:r>
      <w:r>
        <w:rPr>
          <w:rFonts w:eastAsia="方正仿宋简体" w:cs="Times New Roman" w:hint="eastAsia"/>
          <w:sz w:val="32"/>
          <w:szCs w:val="32"/>
        </w:rPr>
        <w:t>100.2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eastAsia="方正仿宋简体" w:cs="Times New Roman" w:hint="eastAsia"/>
          <w:sz w:val="32"/>
          <w:szCs w:val="32"/>
        </w:rPr>
        <w:t>，其中：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小本级</w:t>
      </w:r>
      <w:r>
        <w:rPr>
          <w:rFonts w:eastAsia="方正仿宋简体" w:cs="Times New Roman" w:hint="eastAsia"/>
          <w:color w:val="000000"/>
          <w:sz w:val="32"/>
          <w:szCs w:val="32"/>
        </w:rPr>
        <w:t>社会保险基金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预算</w:t>
      </w:r>
      <w:r>
        <w:rPr>
          <w:rFonts w:eastAsia="方正仿宋简体" w:cs="Times New Roman" w:hint="eastAsia"/>
          <w:sz w:val="32"/>
          <w:szCs w:val="32"/>
        </w:rPr>
        <w:t>支出</w:t>
      </w:r>
      <w:r>
        <w:rPr>
          <w:rFonts w:eastAsia="方正仿宋简体" w:cs="Times New Roman" w:hint="eastAsia"/>
          <w:sz w:val="32"/>
          <w:szCs w:val="32"/>
        </w:rPr>
        <w:t>135</w:t>
      </w:r>
      <w:r>
        <w:rPr>
          <w:rFonts w:eastAsia="方正仿宋简体" w:cs="Times New Roman" w:hint="eastAsia"/>
          <w:sz w:val="32"/>
          <w:szCs w:val="32"/>
        </w:rPr>
        <w:t>亿元，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完成年度预算的</w:t>
      </w:r>
      <w:r>
        <w:rPr>
          <w:rFonts w:eastAsia="方正仿宋简体" w:cs="Times New Roman" w:hint="eastAsia"/>
          <w:sz w:val="32"/>
          <w:szCs w:val="32"/>
        </w:rPr>
        <w:t>100.2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eastAsia="方正仿宋简体" w:cs="Times New Roman" w:hint="eastAsia"/>
          <w:sz w:val="32"/>
          <w:szCs w:val="32"/>
        </w:rPr>
        <w:t>；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泉州台商投资区</w:t>
      </w:r>
      <w:r>
        <w:rPr>
          <w:rFonts w:eastAsia="方正仿宋简体" w:cs="Times New Roman" w:hint="eastAsia"/>
          <w:color w:val="000000"/>
          <w:sz w:val="32"/>
          <w:szCs w:val="32"/>
        </w:rPr>
        <w:t>社会保险基金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预算</w:t>
      </w:r>
      <w:r>
        <w:rPr>
          <w:rFonts w:eastAsia="方正仿宋简体" w:cs="Times New Roman" w:hint="eastAsia"/>
          <w:sz w:val="32"/>
          <w:szCs w:val="32"/>
        </w:rPr>
        <w:t>支出</w:t>
      </w:r>
      <w:r>
        <w:rPr>
          <w:rFonts w:eastAsia="方正仿宋简体" w:cs="Times New Roman" w:hint="eastAsia"/>
          <w:sz w:val="32"/>
          <w:szCs w:val="32"/>
        </w:rPr>
        <w:t>1.83</w:t>
      </w:r>
      <w:r>
        <w:rPr>
          <w:rFonts w:eastAsia="方正仿宋简体" w:cs="Times New Roman" w:hint="eastAsia"/>
          <w:sz w:val="32"/>
          <w:szCs w:val="32"/>
        </w:rPr>
        <w:t>亿元，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完成年度预算的</w:t>
      </w:r>
      <w:r>
        <w:rPr>
          <w:rFonts w:eastAsia="方正仿宋简体" w:cs="Times New Roman" w:hint="eastAsia"/>
          <w:sz w:val="32"/>
          <w:szCs w:val="32"/>
        </w:rPr>
        <w:t>101.2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A21EAA" w:rsidRDefault="00A21EAA" w:rsidP="00A21EAA">
      <w:pPr>
        <w:spacing w:line="560" w:lineRule="exact"/>
        <w:ind w:firstLineChars="200" w:firstLine="640"/>
        <w:rPr>
          <w:rFonts w:eastAsia="方正仿宋简体"/>
          <w:color w:val="FF0000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平衡情况。收入合计</w:t>
      </w:r>
      <w:r>
        <w:rPr>
          <w:rFonts w:eastAsia="方正仿宋简体" w:cs="Times New Roman" w:hint="eastAsia"/>
          <w:sz w:val="32"/>
          <w:szCs w:val="32"/>
        </w:rPr>
        <w:t>324.68</w:t>
      </w:r>
      <w:r>
        <w:rPr>
          <w:rFonts w:ascii="Times New Roman" w:eastAsia="方正仿宋简体" w:hAnsi="Times New Roman" w:cs="Times New Roman"/>
          <w:sz w:val="32"/>
          <w:szCs w:val="32"/>
        </w:rPr>
        <w:t>亿元</w:t>
      </w:r>
      <w:r>
        <w:rPr>
          <w:rFonts w:eastAsia="方正仿宋简体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包括：社会保险基金收入</w:t>
      </w:r>
      <w:r>
        <w:rPr>
          <w:rFonts w:eastAsia="方正仿宋简体" w:cs="Times New Roman" w:hint="eastAsia"/>
          <w:sz w:val="32"/>
          <w:szCs w:val="32"/>
        </w:rPr>
        <w:t>149.52</w:t>
      </w:r>
      <w:r>
        <w:rPr>
          <w:rFonts w:ascii="Times New Roman" w:eastAsia="方正仿宋简体" w:hAnsi="Times New Roman" w:cs="Times New Roman"/>
          <w:sz w:val="32"/>
          <w:szCs w:val="32"/>
        </w:rPr>
        <w:t>亿元，上年结余</w:t>
      </w:r>
      <w:r>
        <w:rPr>
          <w:rFonts w:eastAsia="方正仿宋简体" w:cs="Times New Roman" w:hint="eastAsia"/>
          <w:sz w:val="32"/>
          <w:szCs w:val="32"/>
        </w:rPr>
        <w:t>175.16</w:t>
      </w:r>
      <w:r>
        <w:rPr>
          <w:rFonts w:ascii="Times New Roman" w:eastAsia="方正仿宋简体" w:hAnsi="Times New Roman" w:cs="Times New Roman"/>
          <w:sz w:val="32"/>
          <w:szCs w:val="32"/>
        </w:rPr>
        <w:t>亿元。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支出合计</w:t>
      </w:r>
      <w:r>
        <w:rPr>
          <w:rFonts w:eastAsia="方正仿宋简体" w:cs="Times New Roman" w:hint="eastAsia"/>
          <w:sz w:val="32"/>
          <w:szCs w:val="32"/>
        </w:rPr>
        <w:t>136.83</w:t>
      </w:r>
      <w:r>
        <w:rPr>
          <w:rFonts w:ascii="Times New Roman" w:eastAsia="方正仿宋简体" w:hAnsi="Times New Roman" w:cs="Times New Roman"/>
          <w:sz w:val="32"/>
          <w:szCs w:val="32"/>
        </w:rPr>
        <w:t>亿元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即社会保险基金支出</w:t>
      </w:r>
      <w:r>
        <w:rPr>
          <w:rFonts w:eastAsia="方正仿宋简体" w:cs="Times New Roman" w:hint="eastAsia"/>
          <w:sz w:val="32"/>
          <w:szCs w:val="32"/>
        </w:rPr>
        <w:t>136.83</w:t>
      </w:r>
      <w:r>
        <w:rPr>
          <w:rFonts w:ascii="Times New Roman" w:eastAsia="方正仿宋简体" w:hAnsi="Times New Roman" w:cs="Times New Roman"/>
          <w:sz w:val="32"/>
          <w:szCs w:val="32"/>
        </w:rPr>
        <w:t>亿元。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收支相抵</w:t>
      </w:r>
      <w:r>
        <w:rPr>
          <w:rFonts w:ascii="Times New Roman" w:eastAsia="方正仿宋简体" w:hAnsi="Times New Roman" w:cs="Times New Roman"/>
          <w:sz w:val="32"/>
          <w:szCs w:val="32"/>
        </w:rPr>
        <w:t>，社会保险基金年终结余</w:t>
      </w:r>
      <w:r>
        <w:rPr>
          <w:rFonts w:eastAsia="方正仿宋简体" w:cs="Times New Roman" w:hint="eastAsia"/>
          <w:sz w:val="32"/>
          <w:szCs w:val="32"/>
        </w:rPr>
        <w:t>187.85</w:t>
      </w:r>
      <w:r>
        <w:rPr>
          <w:rFonts w:ascii="Times New Roman" w:eastAsia="方正仿宋简体" w:hAnsi="Times New Roman" w:cs="Times New Roman"/>
          <w:sz w:val="32"/>
          <w:szCs w:val="32"/>
        </w:rPr>
        <w:t>亿元。</w:t>
      </w:r>
    </w:p>
    <w:p w:rsidR="00A21EAA" w:rsidRDefault="00A21EAA" w:rsidP="00A21EAA">
      <w:pPr>
        <w:spacing w:line="560" w:lineRule="exact"/>
        <w:ind w:firstLineChars="200" w:firstLine="640"/>
        <w:rPr>
          <w:rFonts w:eastAsia="方正仿宋简体"/>
          <w:color w:val="000000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（具体收支及平衡情况详见附件）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二、预算支出执行情况分析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bCs/>
          <w:color w:val="000000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color w:val="000000"/>
          <w:sz w:val="32"/>
          <w:szCs w:val="32"/>
        </w:rPr>
        <w:t>（一）经批准举借债务情况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eastAsia="方正仿宋简体"/>
          <w:color w:val="000000"/>
          <w:szCs w:val="32"/>
        </w:rPr>
      </w:pP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202</w:t>
      </w:r>
      <w:r>
        <w:rPr>
          <w:rFonts w:eastAsia="方正仿宋简体" w:cs="Times New Roman" w:hint="eastAsia"/>
          <w:color w:val="000000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年省财政厅核定市本级新增债券额度</w:t>
      </w:r>
      <w:r>
        <w:rPr>
          <w:rFonts w:eastAsia="方正仿宋简体" w:cs="Times New Roman" w:hint="eastAsia"/>
          <w:color w:val="000000"/>
          <w:sz w:val="32"/>
          <w:szCs w:val="32"/>
        </w:rPr>
        <w:t>59.28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亿元，主要用于城市更新改造、交通、水利、生态环保和民生补短板等领域</w:t>
      </w:r>
      <w:r>
        <w:rPr>
          <w:rFonts w:eastAsia="方正仿宋简体" w:cs="Times New Roman" w:hint="eastAsia"/>
          <w:color w:val="000000"/>
          <w:sz w:val="32"/>
          <w:szCs w:val="32"/>
        </w:rPr>
        <w:t>；新增置换专项债券额度</w:t>
      </w:r>
      <w:r>
        <w:rPr>
          <w:rFonts w:eastAsia="方正仿宋简体" w:cs="Times New Roman" w:hint="eastAsia"/>
          <w:color w:val="000000"/>
          <w:sz w:val="32"/>
          <w:szCs w:val="32"/>
        </w:rPr>
        <w:t>10.86</w:t>
      </w:r>
      <w:r>
        <w:rPr>
          <w:rFonts w:eastAsia="方正仿宋简体" w:cs="Times New Roman" w:hint="eastAsia"/>
          <w:color w:val="000000"/>
          <w:sz w:val="32"/>
          <w:szCs w:val="32"/>
        </w:rPr>
        <w:t>亿元，用于化</w:t>
      </w:r>
      <w:r>
        <w:rPr>
          <w:rFonts w:eastAsia="方正仿宋简体" w:cs="Times New Roman" w:hint="eastAsia"/>
          <w:color w:val="000000"/>
          <w:sz w:val="32"/>
          <w:szCs w:val="32"/>
        </w:rPr>
        <w:lastRenderedPageBreak/>
        <w:t>解存量隐性债务。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截至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202</w:t>
      </w:r>
      <w:r>
        <w:rPr>
          <w:rFonts w:eastAsia="方正仿宋简体" w:cs="Times New Roman" w:hint="eastAsia"/>
          <w:color w:val="000000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年底，市本级政府债务余额</w:t>
      </w:r>
      <w:r>
        <w:rPr>
          <w:rFonts w:eastAsia="方正仿宋简体" w:cs="Times New Roman" w:hint="eastAsia"/>
          <w:color w:val="000000"/>
          <w:sz w:val="32"/>
          <w:szCs w:val="32"/>
        </w:rPr>
        <w:t>619.73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亿元（其中一般债务</w:t>
      </w:r>
      <w:r>
        <w:rPr>
          <w:rFonts w:eastAsia="方正仿宋简体" w:cs="Times New Roman" w:hint="eastAsia"/>
          <w:color w:val="000000"/>
          <w:sz w:val="32"/>
          <w:szCs w:val="32"/>
        </w:rPr>
        <w:t>56.16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亿元、专项债务</w:t>
      </w:r>
      <w:r>
        <w:rPr>
          <w:rFonts w:eastAsia="方正仿宋简体" w:cs="Times New Roman" w:hint="eastAsia"/>
          <w:color w:val="000000"/>
          <w:sz w:val="32"/>
          <w:szCs w:val="32"/>
        </w:rPr>
        <w:t>563.57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亿元），</w:t>
      </w:r>
      <w:r>
        <w:rPr>
          <w:rFonts w:ascii="Times New Roman" w:eastAsia="方正仿宋简体" w:hAnsi="Times New Roman" w:cs="Times New Roman"/>
          <w:color w:val="000000"/>
          <w:spacing w:val="-6"/>
          <w:sz w:val="32"/>
          <w:szCs w:val="32"/>
        </w:rPr>
        <w:t>严格控制在省</w:t>
      </w:r>
      <w:r>
        <w:rPr>
          <w:rFonts w:ascii="Times New Roman" w:eastAsia="方正仿宋简体" w:hAnsi="Times New Roman" w:cs="Times New Roman" w:hint="eastAsia"/>
          <w:color w:val="000000"/>
          <w:spacing w:val="-6"/>
          <w:sz w:val="32"/>
          <w:szCs w:val="32"/>
        </w:rPr>
        <w:t>上</w:t>
      </w:r>
      <w:r>
        <w:rPr>
          <w:rFonts w:ascii="Times New Roman" w:eastAsia="方正仿宋简体" w:hAnsi="Times New Roman" w:cs="Times New Roman"/>
          <w:color w:val="000000"/>
          <w:spacing w:val="-6"/>
          <w:sz w:val="32"/>
          <w:szCs w:val="32"/>
        </w:rPr>
        <w:t>核定和市人大常委会批准的限额</w:t>
      </w:r>
      <w:r>
        <w:rPr>
          <w:rFonts w:eastAsia="方正仿宋简体" w:cs="Times New Roman" w:hint="eastAsia"/>
          <w:color w:val="000000"/>
          <w:spacing w:val="-6"/>
          <w:sz w:val="32"/>
          <w:szCs w:val="32"/>
        </w:rPr>
        <w:t>642.57</w:t>
      </w:r>
      <w:r>
        <w:rPr>
          <w:rFonts w:ascii="Times New Roman" w:eastAsia="方正仿宋简体" w:hAnsi="Times New Roman" w:cs="Times New Roman"/>
          <w:color w:val="000000"/>
          <w:spacing w:val="-6"/>
          <w:sz w:val="32"/>
          <w:szCs w:val="32"/>
        </w:rPr>
        <w:t>亿元之内。</w:t>
      </w:r>
      <w:r>
        <w:rPr>
          <w:rFonts w:ascii="Times New Roman" w:eastAsia="方正仿宋简体" w:hAnsi="Times New Roman" w:cs="Times New Roman"/>
          <w:color w:val="000000"/>
          <w:spacing w:val="-6"/>
          <w:sz w:val="32"/>
          <w:szCs w:val="32"/>
        </w:rPr>
        <w:t>2024</w:t>
      </w:r>
      <w:r>
        <w:rPr>
          <w:rFonts w:ascii="Times New Roman" w:eastAsia="方正仿宋简体" w:hAnsi="Times New Roman" w:cs="Times New Roman"/>
          <w:color w:val="000000"/>
          <w:spacing w:val="-6"/>
          <w:sz w:val="32"/>
          <w:szCs w:val="32"/>
        </w:rPr>
        <w:t>年市本级偿还政府债券到期本息</w:t>
      </w:r>
      <w:r>
        <w:rPr>
          <w:rFonts w:ascii="Times New Roman" w:eastAsia="方正仿宋简体" w:hAnsi="Times New Roman" w:cs="Times New Roman"/>
          <w:color w:val="000000"/>
          <w:spacing w:val="-6"/>
          <w:sz w:val="32"/>
          <w:szCs w:val="32"/>
        </w:rPr>
        <w:t>85.22</w:t>
      </w:r>
      <w:r>
        <w:rPr>
          <w:rFonts w:ascii="Times New Roman" w:eastAsia="方正仿宋简体" w:hAnsi="Times New Roman" w:cs="Times New Roman"/>
          <w:color w:val="000000"/>
          <w:spacing w:val="-6"/>
          <w:sz w:val="32"/>
          <w:szCs w:val="32"/>
        </w:rPr>
        <w:t>亿元（其中小本级</w:t>
      </w:r>
      <w:r>
        <w:rPr>
          <w:rFonts w:eastAsia="方正仿宋简体" w:cs="Times New Roman" w:hint="eastAsia"/>
          <w:color w:val="000000"/>
          <w:spacing w:val="-6"/>
          <w:sz w:val="32"/>
          <w:szCs w:val="32"/>
        </w:rPr>
        <w:t>57.25</w:t>
      </w:r>
      <w:r>
        <w:rPr>
          <w:rFonts w:ascii="Times New Roman" w:eastAsia="方正仿宋简体" w:hAnsi="Times New Roman" w:cs="Times New Roman"/>
          <w:color w:val="000000"/>
          <w:spacing w:val="-6"/>
          <w:sz w:val="32"/>
          <w:szCs w:val="32"/>
        </w:rPr>
        <w:t>亿元、台商投资区</w:t>
      </w:r>
      <w:r>
        <w:rPr>
          <w:rFonts w:ascii="Times New Roman" w:eastAsia="方正仿宋简体" w:hAnsi="Times New Roman" w:cs="Times New Roman"/>
          <w:color w:val="000000"/>
          <w:spacing w:val="-6"/>
          <w:sz w:val="32"/>
          <w:szCs w:val="32"/>
        </w:rPr>
        <w:t>27.97</w:t>
      </w:r>
      <w:r>
        <w:rPr>
          <w:rFonts w:ascii="Times New Roman" w:eastAsia="方正仿宋简体" w:hAnsi="Times New Roman" w:cs="Times New Roman"/>
          <w:color w:val="000000"/>
          <w:spacing w:val="-6"/>
          <w:sz w:val="32"/>
          <w:szCs w:val="32"/>
        </w:rPr>
        <w:t>亿元）</w:t>
      </w:r>
      <w:r>
        <w:rPr>
          <w:rFonts w:eastAsia="方正仿宋简体" w:cs="Times New Roman" w:hint="eastAsia"/>
          <w:color w:val="000000"/>
          <w:spacing w:val="-6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color w:val="000000"/>
          <w:spacing w:val="-6"/>
          <w:sz w:val="32"/>
          <w:szCs w:val="32"/>
        </w:rPr>
        <w:t>政府债务足额按时还本付息，政府信用良好，债务风险总体可控。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bCs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（二）预算调整及执行情况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eastAsia="方正仿宋简体" w:cs="方正楷体简体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eastAsia="方正仿宋简体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eastAsia="方正仿宋简体" w:cs="Times New Roman" w:hint="eastAsia"/>
          <w:sz w:val="32"/>
          <w:szCs w:val="32"/>
        </w:rPr>
        <w:t>10</w:t>
      </w:r>
      <w:r>
        <w:rPr>
          <w:rFonts w:eastAsia="方正仿宋简体" w:cs="Times New Roman" w:hint="eastAsia"/>
          <w:sz w:val="32"/>
          <w:szCs w:val="32"/>
        </w:rPr>
        <w:t>月、</w:t>
      </w:r>
      <w:r>
        <w:rPr>
          <w:rFonts w:eastAsia="方正仿宋简体" w:cs="Times New Roman" w:hint="eastAsia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sz w:val="32"/>
          <w:szCs w:val="32"/>
        </w:rPr>
        <w:t>月，经市十七届人大常委会第</w:t>
      </w:r>
      <w:r>
        <w:rPr>
          <w:rFonts w:eastAsia="方正仿宋简体" w:cs="Times New Roman" w:hint="eastAsia"/>
          <w:sz w:val="32"/>
          <w:szCs w:val="32"/>
        </w:rPr>
        <w:t>二十五、二十七</w:t>
      </w:r>
      <w:r>
        <w:rPr>
          <w:rFonts w:ascii="Times New Roman" w:eastAsia="方正仿宋简体" w:hAnsi="Times New Roman" w:cs="Times New Roman"/>
          <w:sz w:val="32"/>
          <w:szCs w:val="32"/>
        </w:rPr>
        <w:t>次会议审议批准，市本级按照省财政厅核定的第一批、第二批新增政府债务限额，调整政府债券转贷收支，增加市本级一般公共预算支出预算</w:t>
      </w:r>
      <w:r>
        <w:rPr>
          <w:rFonts w:eastAsia="方正仿宋简体" w:cs="Times New Roman" w:hint="eastAsia"/>
          <w:sz w:val="32"/>
          <w:szCs w:val="32"/>
        </w:rPr>
        <w:t>2.29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亿元、政府性基金支出预算</w:t>
      </w:r>
      <w:r>
        <w:rPr>
          <w:rFonts w:eastAsia="方正仿宋简体" w:cs="Times New Roman" w:hint="eastAsia"/>
          <w:spacing w:val="-6"/>
          <w:sz w:val="32"/>
          <w:szCs w:val="32"/>
        </w:rPr>
        <w:t>67.85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亿元。实现一般公共预算支出</w:t>
      </w:r>
      <w:r>
        <w:rPr>
          <w:rFonts w:eastAsia="方正仿宋简体" w:cs="Times New Roman" w:hint="eastAsia"/>
          <w:spacing w:val="-6"/>
          <w:sz w:val="32"/>
          <w:szCs w:val="32"/>
        </w:rPr>
        <w:t>2.29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亿元、支出率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100%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，政府性基金支出</w:t>
      </w:r>
      <w:r>
        <w:rPr>
          <w:rFonts w:eastAsia="方正仿宋简体" w:cs="Times New Roman" w:hint="eastAsia"/>
          <w:spacing w:val="-6"/>
          <w:sz w:val="32"/>
          <w:szCs w:val="32"/>
        </w:rPr>
        <w:t>67.85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亿元、支出率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100%</w:t>
      </w:r>
      <w:r>
        <w:rPr>
          <w:rFonts w:ascii="Times New Roman" w:eastAsia="方正仿宋简体" w:hAnsi="Times New Roman" w:cs="Times New Roman"/>
          <w:spacing w:val="-6"/>
          <w:sz w:val="32"/>
          <w:szCs w:val="32"/>
        </w:rPr>
        <w:t>。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bCs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（三）结转结余资金使用情况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eastAsia="方正仿宋简体"/>
          <w:bCs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eastAsia="方正仿宋简体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年一般公共预算上年结余</w:t>
      </w:r>
      <w:r>
        <w:rPr>
          <w:rFonts w:eastAsia="方正仿宋简体" w:cs="Times New Roman" w:hint="eastAsia"/>
          <w:sz w:val="32"/>
          <w:szCs w:val="32"/>
        </w:rPr>
        <w:t>22.4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亿元，</w:t>
      </w:r>
      <w:r>
        <w:rPr>
          <w:rFonts w:eastAsia="方正仿宋简体" w:cs="Times New Roman" w:hint="eastAsia"/>
          <w:bCs/>
          <w:sz w:val="32"/>
          <w:szCs w:val="32"/>
        </w:rPr>
        <w:t>当年使用</w:t>
      </w:r>
      <w:r>
        <w:rPr>
          <w:rFonts w:eastAsia="方正仿宋简体" w:cs="Times New Roman" w:hint="eastAsia"/>
          <w:bCs/>
          <w:sz w:val="32"/>
          <w:szCs w:val="32"/>
        </w:rPr>
        <w:t>18.96</w:t>
      </w:r>
      <w:r>
        <w:rPr>
          <w:rFonts w:eastAsia="方正仿宋简体" w:cs="Times New Roman" w:hint="eastAsia"/>
          <w:bCs/>
          <w:sz w:val="32"/>
          <w:szCs w:val="32"/>
        </w:rPr>
        <w:t>亿元，当年新增项目结转</w:t>
      </w:r>
      <w:r>
        <w:rPr>
          <w:rFonts w:eastAsia="方正仿宋简体" w:cs="Times New Roman" w:hint="eastAsia"/>
          <w:bCs/>
          <w:sz w:val="32"/>
          <w:szCs w:val="32"/>
        </w:rPr>
        <w:t>23.23</w:t>
      </w:r>
      <w:r>
        <w:rPr>
          <w:rFonts w:eastAsia="方正仿宋简体" w:cs="Times New Roman" w:hint="eastAsia"/>
          <w:bCs/>
          <w:sz w:val="32"/>
          <w:szCs w:val="32"/>
        </w:rPr>
        <w:t>亿元，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年终结余</w:t>
      </w:r>
      <w:r>
        <w:rPr>
          <w:rFonts w:eastAsia="方正仿宋简体" w:cs="Times New Roman" w:hint="eastAsia"/>
          <w:bCs/>
          <w:sz w:val="32"/>
          <w:szCs w:val="32"/>
        </w:rPr>
        <w:t>26.67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亿元。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bCs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（四）预备费使用情况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eastAsia="方正仿宋简体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eastAsia="方正仿宋简体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年预算安排预备费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.2</w:t>
      </w:r>
      <w:r>
        <w:rPr>
          <w:rFonts w:eastAsia="方正仿宋简体" w:cs="Times New Roman" w:hint="eastAsia"/>
          <w:bCs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亿元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（其中：小本级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亿元、泉州台商投资区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0.2</w:t>
      </w:r>
      <w:r>
        <w:rPr>
          <w:rFonts w:eastAsia="方正仿宋简体" w:cs="Times New Roman" w:hint="eastAsia"/>
          <w:bCs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亿元）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，用于</w:t>
      </w:r>
      <w:r>
        <w:rPr>
          <w:rFonts w:eastAsia="方正仿宋简体" w:cs="Times New Roman" w:hint="eastAsia"/>
          <w:bCs/>
          <w:sz w:val="32"/>
          <w:szCs w:val="32"/>
        </w:rPr>
        <w:t>灾后绿化扶植</w:t>
      </w:r>
      <w:r>
        <w:rPr>
          <w:rFonts w:ascii="Times New Roman" w:eastAsia="方正仿宋简体" w:hAnsi="Times New Roman" w:cs="Times New Roman"/>
          <w:sz w:val="32"/>
          <w:szCs w:val="32"/>
        </w:rPr>
        <w:t>支出</w:t>
      </w:r>
      <w:r>
        <w:rPr>
          <w:rFonts w:eastAsia="方正仿宋简体" w:cs="Times New Roman" w:hint="eastAsia"/>
          <w:sz w:val="32"/>
          <w:szCs w:val="32"/>
        </w:rPr>
        <w:lastRenderedPageBreak/>
        <w:t>0.05</w:t>
      </w:r>
      <w:r>
        <w:rPr>
          <w:rFonts w:ascii="Times New Roman" w:eastAsia="方正仿宋简体" w:hAnsi="Times New Roman" w:cs="Times New Roman"/>
          <w:sz w:val="32"/>
          <w:szCs w:val="32"/>
        </w:rPr>
        <w:t>亿元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余额</w:t>
      </w:r>
      <w:r>
        <w:rPr>
          <w:rFonts w:eastAsia="方正仿宋简体" w:cs="Times New Roman" w:hint="eastAsia"/>
          <w:sz w:val="32"/>
          <w:szCs w:val="32"/>
        </w:rPr>
        <w:t>1.19</w:t>
      </w:r>
      <w:r>
        <w:rPr>
          <w:rFonts w:ascii="Times New Roman" w:eastAsia="方正仿宋简体" w:hAnsi="Times New Roman" w:cs="Times New Roman"/>
          <w:sz w:val="32"/>
          <w:szCs w:val="32"/>
        </w:rPr>
        <w:t>亿元按规定全部转入预算稳定调节基金。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bCs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（五）超收财力情况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eastAsia="方正仿宋简体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eastAsia="方正仿宋简体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年市本级地方一般公共预算收入</w:t>
      </w:r>
      <w:r>
        <w:rPr>
          <w:rFonts w:ascii="Times New Roman" w:eastAsia="方正仿宋简体" w:hAnsi="Times New Roman" w:cs="Times New Roman"/>
          <w:sz w:val="32"/>
          <w:szCs w:val="32"/>
        </w:rPr>
        <w:t>100.61</w:t>
      </w:r>
      <w:r>
        <w:rPr>
          <w:rFonts w:ascii="Times New Roman" w:eastAsia="方正仿宋简体" w:hAnsi="Times New Roman" w:cs="Times New Roman"/>
          <w:sz w:val="32"/>
          <w:szCs w:val="32"/>
        </w:rPr>
        <w:t>亿元，完成年度预算的</w:t>
      </w:r>
      <w:r>
        <w:rPr>
          <w:rFonts w:ascii="Times New Roman" w:eastAsia="方正仿宋简体" w:hAnsi="Times New Roman" w:cs="Times New Roman"/>
          <w:sz w:val="32"/>
          <w:szCs w:val="32"/>
        </w:rPr>
        <w:t>95.9%</w:t>
      </w:r>
      <w:r>
        <w:rPr>
          <w:rFonts w:eastAsia="方正仿宋简体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地方一般公共预算</w:t>
      </w:r>
      <w:r>
        <w:rPr>
          <w:rFonts w:eastAsia="方正仿宋简体" w:cs="Times New Roman" w:hint="eastAsia"/>
          <w:sz w:val="32"/>
          <w:szCs w:val="32"/>
        </w:rPr>
        <w:t>无</w:t>
      </w:r>
      <w:r>
        <w:rPr>
          <w:rFonts w:ascii="Times New Roman" w:eastAsia="方正仿宋简体" w:hAnsi="Times New Roman" w:cs="Times New Roman"/>
          <w:sz w:val="32"/>
          <w:szCs w:val="32"/>
        </w:rPr>
        <w:t>超收财力。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bCs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（六）预算稳定调节基金情况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eastAsia="方正仿宋简体"/>
          <w:bCs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eastAsia="方正仿宋简体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年市本级预算稳定调节基金上年结转</w:t>
      </w:r>
      <w:r>
        <w:rPr>
          <w:rFonts w:eastAsia="方正仿宋简体" w:cs="Times New Roman" w:hint="eastAsia"/>
          <w:sz w:val="32"/>
          <w:szCs w:val="32"/>
        </w:rPr>
        <w:t>16.68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亿元，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eastAsia="方正仿宋简体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年年初预算</w:t>
      </w:r>
      <w:r>
        <w:rPr>
          <w:rFonts w:ascii="Times New Roman" w:eastAsia="方正仿宋简体" w:hAnsi="Times New Roman" w:cs="Times New Roman"/>
          <w:sz w:val="32"/>
          <w:szCs w:val="32"/>
        </w:rPr>
        <w:t>使用</w:t>
      </w:r>
      <w:r>
        <w:rPr>
          <w:rFonts w:eastAsia="方正仿宋简体" w:cs="Times New Roman" w:hint="eastAsia"/>
          <w:sz w:val="32"/>
          <w:szCs w:val="32"/>
        </w:rPr>
        <w:t>7.83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亿元，年底转入</w:t>
      </w:r>
      <w:r>
        <w:rPr>
          <w:rFonts w:eastAsia="方正仿宋简体" w:cs="Times New Roman" w:hint="eastAsia"/>
          <w:sz w:val="32"/>
          <w:szCs w:val="32"/>
        </w:rPr>
        <w:t>7.12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亿元（其中：政府性基金结转超过当年收入</w:t>
      </w:r>
      <w:r>
        <w:rPr>
          <w:rFonts w:ascii="Times New Roman" w:eastAsia="方正仿宋简体" w:hAnsi="Times New Roman" w:cs="Times New Roman"/>
          <w:sz w:val="32"/>
          <w:szCs w:val="32"/>
        </w:rPr>
        <w:t>30%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部分</w:t>
      </w:r>
      <w:r>
        <w:rPr>
          <w:rFonts w:eastAsia="方正仿宋简体" w:cs="Times New Roman" w:hint="eastAsia"/>
          <w:sz w:val="32"/>
          <w:szCs w:val="32"/>
        </w:rPr>
        <w:t>5.59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亿元、预备费结余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1.19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亿元、两年以上结转和结余资金</w:t>
      </w:r>
      <w:r>
        <w:rPr>
          <w:rFonts w:eastAsia="方正仿宋简体" w:cs="Times New Roman" w:hint="eastAsia"/>
          <w:bCs/>
          <w:sz w:val="32"/>
          <w:szCs w:val="32"/>
        </w:rPr>
        <w:t>0.34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亿元），年底结转</w:t>
      </w:r>
      <w:r>
        <w:rPr>
          <w:rFonts w:eastAsia="方正仿宋简体" w:cs="Times New Roman" w:hint="eastAsia"/>
          <w:sz w:val="32"/>
          <w:szCs w:val="32"/>
        </w:rPr>
        <w:t>15.97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亿元，经市人大批准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eastAsia="方正仿宋简体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年年初预算使用</w:t>
      </w:r>
      <w:r>
        <w:rPr>
          <w:rFonts w:eastAsia="方正仿宋简体" w:cs="Times New Roman" w:hint="eastAsia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亿元，目前余额为</w:t>
      </w:r>
      <w:r>
        <w:rPr>
          <w:rFonts w:eastAsia="方正仿宋简体" w:cs="Times New Roman" w:hint="eastAsia"/>
          <w:sz w:val="32"/>
          <w:szCs w:val="32"/>
        </w:rPr>
        <w:t>3.97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亿元。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bCs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（七）一般性支出及“三公”经费执行情况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eastAsia="方正仿宋简体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202</w:t>
      </w:r>
      <w:r>
        <w:rPr>
          <w:rFonts w:eastAsia="方正仿宋简体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年市本级一般性支出</w:t>
      </w:r>
      <w:r>
        <w:rPr>
          <w:rFonts w:eastAsia="方正仿宋简体" w:cs="Times New Roman" w:hint="eastAsia"/>
          <w:sz w:val="32"/>
          <w:szCs w:val="32"/>
        </w:rPr>
        <w:t>18.32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亿元，比上年</w:t>
      </w:r>
      <w:r>
        <w:rPr>
          <w:rFonts w:eastAsia="方正仿宋简体" w:cs="Times New Roman" w:hint="eastAsia"/>
          <w:sz w:val="32"/>
          <w:szCs w:val="32"/>
        </w:rPr>
        <w:t>增加</w:t>
      </w:r>
      <w:r>
        <w:rPr>
          <w:rFonts w:eastAsia="方正仿宋简体" w:cs="Times New Roman" w:hint="eastAsia"/>
          <w:sz w:val="32"/>
          <w:szCs w:val="32"/>
        </w:rPr>
        <w:t>0.45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亿元、</w:t>
      </w:r>
      <w:r>
        <w:rPr>
          <w:rFonts w:eastAsia="方正仿宋简体" w:cs="Times New Roman" w:hint="eastAsia"/>
          <w:sz w:val="32"/>
          <w:szCs w:val="32"/>
        </w:rPr>
        <w:t>增长</w:t>
      </w:r>
      <w:r>
        <w:rPr>
          <w:rFonts w:eastAsia="方正仿宋简体" w:cs="Times New Roman" w:hint="eastAsia"/>
          <w:sz w:val="32"/>
          <w:szCs w:val="32"/>
        </w:rPr>
        <w:t>2.5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。“三公”经费支出</w:t>
      </w:r>
      <w:r>
        <w:rPr>
          <w:rFonts w:eastAsia="方正仿宋简体" w:cs="Times New Roman" w:hint="eastAsia"/>
          <w:sz w:val="32"/>
          <w:szCs w:val="32"/>
        </w:rPr>
        <w:t>0.51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亿元〔其中：因公出国（境）费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0.03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亿元、公务接待费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0.0</w:t>
      </w:r>
      <w:r>
        <w:rPr>
          <w:rFonts w:eastAsia="方正仿宋简体" w:cs="Times New Roman" w:hint="eastAsia"/>
          <w:sz w:val="32"/>
          <w:szCs w:val="32"/>
        </w:rPr>
        <w:t>7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亿元、公务用车购置及运行维护费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0.</w:t>
      </w:r>
      <w:r>
        <w:rPr>
          <w:rFonts w:eastAsia="方正仿宋简体" w:cs="Times New Roman" w:hint="eastAsia"/>
          <w:sz w:val="32"/>
          <w:szCs w:val="32"/>
        </w:rPr>
        <w:t>41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亿元〕，比上年</w:t>
      </w:r>
      <w:r>
        <w:rPr>
          <w:rFonts w:eastAsia="方正仿宋简体" w:cs="Times New Roman" w:hint="eastAsia"/>
          <w:sz w:val="32"/>
          <w:szCs w:val="32"/>
        </w:rPr>
        <w:t>减少</w:t>
      </w:r>
      <w:r>
        <w:rPr>
          <w:rFonts w:eastAsia="方正仿宋简体" w:cs="Times New Roman" w:hint="eastAsia"/>
          <w:sz w:val="32"/>
          <w:szCs w:val="32"/>
        </w:rPr>
        <w:t>0.04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亿元、</w:t>
      </w:r>
      <w:r>
        <w:rPr>
          <w:rFonts w:eastAsia="方正仿宋简体" w:cs="Times New Roman" w:hint="eastAsia"/>
          <w:sz w:val="32"/>
          <w:szCs w:val="32"/>
        </w:rPr>
        <w:t>下降</w:t>
      </w:r>
      <w:r>
        <w:rPr>
          <w:rFonts w:eastAsia="方正仿宋简体" w:cs="Times New Roman" w:hint="eastAsia"/>
          <w:sz w:val="32"/>
          <w:szCs w:val="32"/>
        </w:rPr>
        <w:t>7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。主要是进一步落实厉行节约，出台坚持过紧日子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条节支增效措施</w:t>
      </w:r>
      <w:r>
        <w:rPr>
          <w:rFonts w:eastAsia="方正仿宋简体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严格“三公”经费审核机制</w:t>
      </w:r>
      <w:r>
        <w:rPr>
          <w:rFonts w:eastAsia="方正仿宋简体" w:cs="Times New Roman" w:hint="eastAsia"/>
          <w:sz w:val="32"/>
          <w:szCs w:val="32"/>
        </w:rPr>
        <w:t>，严控“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三公”经费</w:t>
      </w:r>
      <w:r>
        <w:rPr>
          <w:rFonts w:eastAsia="方正仿宋简体" w:cs="Times New Roman" w:hint="eastAsia"/>
          <w:sz w:val="32"/>
          <w:szCs w:val="32"/>
        </w:rPr>
        <w:t>支出</w:t>
      </w:r>
      <w:r>
        <w:rPr>
          <w:rFonts w:ascii="Times New Roman" w:eastAsia="方正仿宋简体" w:hAnsi="Times New Roman" w:cs="Times New Roman" w:hint="eastAsia"/>
          <w:spacing w:val="-11"/>
          <w:sz w:val="32"/>
          <w:szCs w:val="32"/>
        </w:rPr>
        <w:t>。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bCs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sz w:val="32"/>
          <w:szCs w:val="32"/>
        </w:rPr>
        <w:t>（八）资金使用绩效评价开展情况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eastAsia="方正仿宋简体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2024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年市本级完成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2241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个项目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146.9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亿元绩效目标批复及运行监控，选取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个项目开展事前评估、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个市直部门及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个项目开展绩效重点评价和部门整体评价。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bCs/>
          <w:color w:val="000000"/>
          <w:szCs w:val="32"/>
        </w:rPr>
      </w:pPr>
      <w:r>
        <w:rPr>
          <w:rFonts w:ascii="方正黑体简体" w:eastAsia="方正黑体简体" w:hAnsi="方正黑体简体" w:cs="方正黑体简体" w:hint="eastAsia"/>
          <w:bCs/>
          <w:color w:val="000000"/>
          <w:sz w:val="32"/>
          <w:szCs w:val="32"/>
        </w:rPr>
        <w:t>三、预算执行效果和落实市人大决议情况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bCs/>
          <w:color w:val="000000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color w:val="000000"/>
          <w:sz w:val="32"/>
          <w:szCs w:val="32"/>
        </w:rPr>
        <w:t>（一）聚焦大拼经济、大抓发展，提升积极财政政策效能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eastAsia="方正仿宋简体" w:cs="仿宋"/>
          <w:bCs/>
          <w:color w:val="000000"/>
          <w:szCs w:val="32"/>
        </w:rPr>
      </w:pPr>
      <w:r>
        <w:rPr>
          <w:rFonts w:ascii="Times New Roman" w:eastAsia="方正仿宋简体" w:hAnsi="Times New Roman" w:cs="仿宋" w:hint="eastAsia"/>
          <w:b/>
          <w:color w:val="000000"/>
          <w:sz w:val="32"/>
          <w:szCs w:val="32"/>
        </w:rPr>
        <w:t>落实减税降费增活力。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全面落实小规模纳税人减征免征增值税、增值税留抵退税、研发费用税前加计扣除等结构性减税降费政策，全市新增减税降费及退税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62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亿元，重点支持科技创新和制造业发展。</w:t>
      </w:r>
      <w:r>
        <w:rPr>
          <w:rFonts w:ascii="Times New Roman" w:eastAsia="方正仿宋简体" w:hAnsi="Times New Roman" w:cs="仿宋" w:hint="eastAsia"/>
          <w:b/>
          <w:color w:val="000000"/>
          <w:sz w:val="32"/>
          <w:szCs w:val="32"/>
        </w:rPr>
        <w:t>促进实体经济转型升级。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统筹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28.94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亿元落细落实“两重”“两新”政策，</w:t>
      </w:r>
      <w:r>
        <w:rPr>
          <w:rFonts w:eastAsia="方正仿宋简体" w:cs="仿宋" w:hint="eastAsia"/>
          <w:bCs/>
          <w:color w:val="000000"/>
          <w:sz w:val="32"/>
          <w:szCs w:val="32"/>
        </w:rPr>
        <w:t>市本级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兑现惠企资金</w:t>
      </w:r>
      <w:r>
        <w:rPr>
          <w:rFonts w:eastAsia="方正仿宋简体" w:cs="仿宋" w:hint="eastAsia"/>
          <w:bCs/>
          <w:color w:val="000000"/>
          <w:sz w:val="32"/>
          <w:szCs w:val="32"/>
        </w:rPr>
        <w:t>10.64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亿元，保障落实民营龙头企业培优扶强、外贸高质量发展、人工智能产业发展等政策，推动产业智转数改、创新转型，力促经济量质齐升。</w:t>
      </w:r>
      <w:r>
        <w:rPr>
          <w:rFonts w:ascii="Times New Roman" w:eastAsia="方正仿宋简体" w:hAnsi="Times New Roman" w:cs="仿宋" w:hint="eastAsia"/>
          <w:b/>
          <w:color w:val="000000"/>
          <w:sz w:val="32"/>
          <w:szCs w:val="32"/>
        </w:rPr>
        <w:t>支持金融服务实业发展。</w:t>
      </w:r>
      <w:r>
        <w:rPr>
          <w:rFonts w:eastAsia="方正仿宋简体" w:cs="仿宋" w:hint="eastAsia"/>
          <w:bCs/>
          <w:color w:val="000000"/>
          <w:sz w:val="32"/>
          <w:szCs w:val="32"/>
        </w:rPr>
        <w:t>市本级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投入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9270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万元实施贷款贴息、担保增信、金融创新等政策，促进普惠金融服务增量扩面、降本提效，撬动金融机构投放技术创新基金、中小微企业融资增信基金、提质增效贷款等政策性贷款超百亿元，有力支持实体产业高质量发展。</w:t>
      </w:r>
      <w:r>
        <w:rPr>
          <w:rFonts w:ascii="Times New Roman" w:eastAsia="方正仿宋简体" w:hAnsi="Times New Roman" w:cs="仿宋" w:hint="eastAsia"/>
          <w:b/>
          <w:color w:val="000000"/>
          <w:sz w:val="32"/>
          <w:szCs w:val="32"/>
        </w:rPr>
        <w:t>强化基金赋能招商引资。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设立规模百亿的泉州海丝产业升级基金，成功引入凯辉基金中国总部落地泉州，累计注册设立政府引导型母基金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20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只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630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亿元、引导在泉设立国资子基金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335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亿元。</w:t>
      </w:r>
      <w:r>
        <w:rPr>
          <w:rFonts w:ascii="Times New Roman" w:eastAsia="方正仿宋简体" w:hAnsi="Times New Roman" w:cs="仿宋" w:hint="eastAsia"/>
          <w:b/>
          <w:color w:val="000000"/>
          <w:sz w:val="32"/>
          <w:szCs w:val="32"/>
        </w:rPr>
        <w:t>提升营商环境“软实力”。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在全省率先上线电子化投诉功能、跨省远程异地评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lastRenderedPageBreak/>
        <w:t>审、调解委员会市县两级全覆盖等创新举措，着力打造政府采购一流营商环境。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bCs/>
          <w:color w:val="000000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color w:val="000000"/>
          <w:sz w:val="32"/>
          <w:szCs w:val="32"/>
        </w:rPr>
        <w:t>（二）聚焦“项目创优年”活动，提升投融资运作质效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eastAsia="方正仿宋简体" w:cs="仿宋"/>
          <w:bCs/>
          <w:color w:val="000000"/>
          <w:szCs w:val="32"/>
        </w:rPr>
      </w:pPr>
      <w:r>
        <w:rPr>
          <w:rFonts w:ascii="Times New Roman" w:eastAsia="方正仿宋简体" w:hAnsi="Times New Roman" w:cs="仿宋" w:hint="eastAsia"/>
          <w:b/>
          <w:color w:val="000000"/>
          <w:sz w:val="32"/>
          <w:szCs w:val="32"/>
        </w:rPr>
        <w:t>支持“抓城建提品质”专项行动。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周密制定中央活力区、后渚莲垵、西华洋、城东南滨江等片区投入产出平衡方案，金屿大桥、百崎大桥和晋江隧道等“三大通道”及福医大台商项目、中环城路、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R1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线等重大项目资金筹措方案，有效保障项目建设。高效</w:t>
      </w:r>
      <w:r>
        <w:rPr>
          <w:rFonts w:eastAsia="方正仿宋简体" w:cs="仿宋" w:hint="eastAsia"/>
          <w:bCs/>
          <w:color w:val="000000"/>
          <w:sz w:val="32"/>
          <w:szCs w:val="32"/>
        </w:rPr>
        <w:t>完成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财政投资项目预结（决）算评审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119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个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164.45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亿元，审减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13.15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亿元，综合审减率达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8%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，审核办结率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100%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。</w:t>
      </w:r>
      <w:r>
        <w:rPr>
          <w:rFonts w:ascii="Times New Roman" w:eastAsia="方正仿宋简体" w:hAnsi="Times New Roman" w:cs="仿宋" w:hint="eastAsia"/>
          <w:b/>
          <w:color w:val="000000"/>
          <w:sz w:val="32"/>
          <w:szCs w:val="32"/>
        </w:rPr>
        <w:t>支持工业（产业）园区标准化建设。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发行园区标准化建设专项债券项目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12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个、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29.45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亿元，投入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1100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万元开展园区考核奖励，综合运用技改投资奖补、融资租赁贴息、研发平台奖励等方式加快园区招商投产达效。</w:t>
      </w:r>
      <w:r>
        <w:rPr>
          <w:rFonts w:ascii="Times New Roman" w:eastAsia="方正仿宋简体" w:hAnsi="Times New Roman" w:cs="仿宋" w:hint="eastAsia"/>
          <w:b/>
          <w:color w:val="000000"/>
          <w:sz w:val="32"/>
          <w:szCs w:val="32"/>
        </w:rPr>
        <w:t>用足政府债券扩投资。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2024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年全市争取政府债券资金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580.35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亿元，其中新增政府债券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277.91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亿元、再融资债券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205.24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亿元、超长期特别国债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27.1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亿元、隐性债务置换债券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53.84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亿元、使用结存限额发行债券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16.26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亿元，额度居全省第二，债券存续期间预计可节约利息支出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84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亿元。</w:t>
      </w:r>
      <w:r>
        <w:rPr>
          <w:rFonts w:ascii="Times New Roman" w:eastAsia="方正仿宋简体" w:hAnsi="Times New Roman" w:cs="仿宋" w:hint="eastAsia"/>
          <w:b/>
          <w:color w:val="000000"/>
          <w:sz w:val="32"/>
          <w:szCs w:val="32"/>
        </w:rPr>
        <w:t>联动国企做强融资保障。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加强“财政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+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国企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+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金融”联动运作，市级财政注资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12.87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亿元提升市属国企承载实力，推动市属国企市场化融资超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510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亿元保障项目落地投建。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bCs/>
          <w:color w:val="000000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color w:val="000000"/>
          <w:sz w:val="32"/>
          <w:szCs w:val="32"/>
        </w:rPr>
        <w:t>（三）聚焦惠民生补短板，推进品质泉州建设</w:t>
      </w:r>
    </w:p>
    <w:p w:rsidR="00A21EAA" w:rsidRDefault="00A21EAA" w:rsidP="00A21EAA">
      <w:pPr>
        <w:pBdr>
          <w:bottom w:val="single" w:sz="4" w:space="31" w:color="FFFFFF"/>
        </w:pBdr>
        <w:spacing w:line="560" w:lineRule="exact"/>
        <w:ind w:firstLineChars="200" w:firstLine="640"/>
        <w:rPr>
          <w:rFonts w:eastAsia="方正仿宋简体" w:cs="仿宋"/>
          <w:bCs/>
          <w:color w:val="000000"/>
          <w:szCs w:val="32"/>
        </w:rPr>
      </w:pPr>
      <w:r>
        <w:rPr>
          <w:rFonts w:ascii="Times New Roman" w:eastAsia="方正仿宋简体" w:hAnsi="Times New Roman" w:cs="仿宋" w:hint="eastAsia"/>
          <w:b/>
          <w:color w:val="000000"/>
          <w:sz w:val="32"/>
          <w:szCs w:val="32"/>
        </w:rPr>
        <w:lastRenderedPageBreak/>
        <w:t>扎实做好民生保障。</w:t>
      </w:r>
      <w:r>
        <w:rPr>
          <w:rFonts w:ascii="Times New Roman" w:eastAsia="方正仿宋简体" w:hAnsi="Times New Roman" w:cs="仿宋" w:hint="eastAsia"/>
          <w:bCs/>
          <w:sz w:val="32"/>
          <w:szCs w:val="32"/>
        </w:rPr>
        <w:t>支出重点向民生领域倾斜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，市本级民生支出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128.74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亿元，占一般公共预算支出的比重达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75.3%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，为民办实事项目投入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2.45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亿元，促进补齐民生社会事业短板。</w:t>
      </w:r>
      <w:r>
        <w:rPr>
          <w:rFonts w:ascii="Times New Roman" w:eastAsia="方正仿宋简体" w:hAnsi="Times New Roman" w:cs="仿宋" w:hint="eastAsia"/>
          <w:b/>
          <w:color w:val="000000"/>
          <w:sz w:val="32"/>
          <w:szCs w:val="32"/>
        </w:rPr>
        <w:t>落实就业优先政策。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深入实施公共就业服务能力提升示范项目，统筹就业资金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1.66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亿元支持稳定和扩大就业。</w:t>
      </w:r>
      <w:r>
        <w:rPr>
          <w:rFonts w:ascii="Times New Roman" w:eastAsia="方正仿宋简体" w:hAnsi="Times New Roman" w:cs="仿宋" w:hint="eastAsia"/>
          <w:b/>
          <w:color w:val="000000"/>
          <w:sz w:val="32"/>
          <w:szCs w:val="32"/>
        </w:rPr>
        <w:t>赋能乡村振兴战略。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整合盘活财政涉农资金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10.3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亿元，深入实施乡村振兴项目建设，促进特色现代农业高质量发展。</w:t>
      </w:r>
      <w:r>
        <w:rPr>
          <w:rFonts w:ascii="Times New Roman" w:eastAsia="方正仿宋简体" w:hAnsi="Times New Roman" w:cs="仿宋" w:hint="eastAsia"/>
          <w:b/>
          <w:color w:val="000000"/>
          <w:sz w:val="32"/>
          <w:szCs w:val="32"/>
        </w:rPr>
        <w:t>助力绿色生态环保。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统筹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2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亿元落实流域生态补偿机制，加快实施“两江一带”沿线生态环境修复，晋江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-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东西溪流域、泉州东部重要水源地等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2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个项目获得国家生态文明试验区补助资金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1.59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亿元。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bCs/>
          <w:color w:val="000000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color w:val="000000"/>
          <w:sz w:val="32"/>
          <w:szCs w:val="32"/>
        </w:rPr>
        <w:t>（四）聚焦收支管理质效，确保财政安全平稳运行</w:t>
      </w:r>
    </w:p>
    <w:p w:rsidR="00A21EAA" w:rsidRDefault="00A21EAA" w:rsidP="00A21EAA">
      <w:pPr>
        <w:pBdr>
          <w:bottom w:val="single" w:sz="4" w:space="31" w:color="FFFFFF"/>
        </w:pBdr>
        <w:spacing w:line="560" w:lineRule="exact"/>
        <w:ind w:firstLineChars="200" w:firstLine="640"/>
        <w:rPr>
          <w:rFonts w:eastAsia="方正仿宋简体" w:cs="仿宋"/>
          <w:bCs/>
          <w:color w:val="FF0000"/>
          <w:szCs w:val="36"/>
        </w:rPr>
      </w:pPr>
      <w:r>
        <w:rPr>
          <w:rFonts w:ascii="Times New Roman" w:eastAsia="方正仿宋简体" w:hAnsi="Times New Roman" w:cs="仿宋" w:hint="eastAsia"/>
          <w:b/>
          <w:color w:val="000000"/>
          <w:sz w:val="32"/>
          <w:szCs w:val="32"/>
        </w:rPr>
        <w:t>精心开源挖潜组织收入。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坚持市县、部门联动攻坚，清单化抓实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15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项财源税源项目，盯紧重点区域重点行业骨干企业增收潜力，压减整合非税收入，提高收入质量。</w:t>
      </w:r>
      <w:r>
        <w:rPr>
          <w:rFonts w:ascii="Times New Roman" w:eastAsia="方正仿宋简体" w:hAnsi="Times New Roman" w:cs="仿宋" w:hint="eastAsia"/>
          <w:b/>
          <w:color w:val="000000"/>
          <w:sz w:val="32"/>
          <w:szCs w:val="32"/>
        </w:rPr>
        <w:t>精确发力争取上级资金。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紧盯上级政策动向和重点扶持领域，抓实项目谋划储备和申报对接，全市争取上级资金超</w:t>
      </w:r>
      <w:r>
        <w:rPr>
          <w:rFonts w:eastAsia="方正仿宋简体" w:cs="仿宋" w:hint="eastAsia"/>
          <w:bCs/>
          <w:color w:val="000000"/>
          <w:sz w:val="32"/>
          <w:szCs w:val="32"/>
        </w:rPr>
        <w:t>263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亿元，获批竞争性评审项目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8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个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7.69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亿元。</w:t>
      </w:r>
      <w:r>
        <w:rPr>
          <w:rFonts w:ascii="Times New Roman" w:eastAsia="方正仿宋简体" w:hAnsi="Times New Roman" w:cs="仿宋" w:hint="eastAsia"/>
          <w:b/>
          <w:color w:val="000000"/>
          <w:sz w:val="32"/>
          <w:szCs w:val="32"/>
        </w:rPr>
        <w:t>精打细算保障重点支出。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加强“四本预算”及跨年度资金统筹，出台坚持过紧日子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10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条节支增效措施，市本级经常性业务费、公用经费分别压减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10%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、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5%</w:t>
      </w:r>
      <w:r>
        <w:rPr>
          <w:rFonts w:ascii="Times New Roman" w:eastAsia="方正仿宋简体" w:hAnsi="Times New Roman" w:cs="仿宋" w:hint="eastAsia"/>
          <w:bCs/>
          <w:color w:val="000000"/>
          <w:sz w:val="32"/>
          <w:szCs w:val="32"/>
        </w:rPr>
        <w:t>，</w:t>
      </w:r>
      <w:r>
        <w:rPr>
          <w:rFonts w:eastAsia="方正仿宋简体" w:cs="仿宋" w:hint="eastAsia"/>
          <w:bCs/>
          <w:sz w:val="32"/>
          <w:szCs w:val="32"/>
        </w:rPr>
        <w:t>规范结转结余资金的使用管理，强化</w:t>
      </w:r>
      <w:r>
        <w:rPr>
          <w:rFonts w:ascii="Times New Roman" w:eastAsia="方正仿宋简体" w:hAnsi="Times New Roman" w:cs="仿宋" w:hint="eastAsia"/>
          <w:bCs/>
          <w:sz w:val="32"/>
          <w:szCs w:val="32"/>
        </w:rPr>
        <w:t>重点急需领域支出</w:t>
      </w:r>
      <w:r>
        <w:rPr>
          <w:rFonts w:eastAsia="方正仿宋简体" w:cs="仿宋" w:hint="eastAsia"/>
          <w:bCs/>
          <w:sz w:val="32"/>
          <w:szCs w:val="32"/>
        </w:rPr>
        <w:t>保障</w:t>
      </w:r>
      <w:r>
        <w:rPr>
          <w:rFonts w:ascii="Times New Roman" w:eastAsia="方正仿宋简体" w:hAnsi="Times New Roman" w:cs="仿宋" w:hint="eastAsia"/>
          <w:bCs/>
          <w:sz w:val="32"/>
          <w:szCs w:val="32"/>
        </w:rPr>
        <w:t>。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bCs/>
          <w:color w:val="000000"/>
          <w:szCs w:val="32"/>
        </w:rPr>
      </w:pPr>
      <w:r>
        <w:rPr>
          <w:rFonts w:ascii="方正楷体简体" w:eastAsia="方正楷体简体" w:hAnsi="方正楷体简体" w:cs="方正楷体简体" w:hint="eastAsia"/>
          <w:bCs/>
          <w:color w:val="000000"/>
          <w:sz w:val="32"/>
          <w:szCs w:val="32"/>
        </w:rPr>
        <w:t>（五）聚焦财政改革发展，构建现代化管理机制</w:t>
      </w:r>
    </w:p>
    <w:p w:rsidR="00A21EAA" w:rsidRDefault="00A21EAA" w:rsidP="00A21EAA">
      <w:pPr>
        <w:pBdr>
          <w:bottom w:val="single" w:sz="4" w:space="31" w:color="FFFFFF"/>
        </w:pBdr>
        <w:spacing w:line="560" w:lineRule="exact"/>
        <w:ind w:firstLineChars="200" w:firstLine="640"/>
        <w:rPr>
          <w:rFonts w:eastAsia="方正仿宋简体" w:cs="仿宋"/>
          <w:color w:val="000000"/>
          <w:szCs w:val="32"/>
        </w:rPr>
      </w:pPr>
      <w:r>
        <w:rPr>
          <w:rFonts w:ascii="Times New Roman" w:eastAsia="方正仿宋简体" w:hAnsi="Times New Roman" w:cs="仿宋" w:hint="eastAsia"/>
          <w:b/>
          <w:bCs/>
          <w:color w:val="000000"/>
          <w:sz w:val="32"/>
          <w:szCs w:val="32"/>
        </w:rPr>
        <w:lastRenderedPageBreak/>
        <w:t>深化预算管理机制改革。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加大零基预算改革力度，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2024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年市本级取消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36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个项目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2.61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亿元、调减压缩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49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个项目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2.58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亿元。做细做实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2024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年预算和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2023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年决算公开，强化数字财政建设，提升大数据理财能力。加强行政事业性国有资产使用管理，提升资产盘活运营效率。</w:t>
      </w:r>
      <w:r>
        <w:rPr>
          <w:rFonts w:ascii="Times New Roman" w:eastAsia="方正仿宋简体" w:hAnsi="Times New Roman" w:cs="仿宋" w:hint="eastAsia"/>
          <w:b/>
          <w:bCs/>
          <w:color w:val="000000"/>
          <w:sz w:val="32"/>
          <w:szCs w:val="32"/>
        </w:rPr>
        <w:t>有效履行财会监督主责。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聚焦惠企利民资金、涉农资金、转移支付资金等重点领域，持续加大财会监督力度，切实严肃财经纪律。</w:t>
      </w:r>
      <w:r>
        <w:rPr>
          <w:rFonts w:ascii="Times New Roman" w:eastAsia="方正仿宋简体" w:hAnsi="Times New Roman" w:cs="仿宋" w:hint="eastAsia"/>
          <w:b/>
          <w:bCs/>
          <w:color w:val="000000"/>
          <w:sz w:val="32"/>
          <w:szCs w:val="32"/>
        </w:rPr>
        <w:t>强化财政运行风险防控。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实施财政收入、“三保”供给、库款保障等联动监测和预判预警，有效防控财政运行潜在风险。组织编制和落实《泉州市债务风险化解工作方案》等“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1+4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”方案，系统推进地方债务风险防范化解。</w:t>
      </w:r>
    </w:p>
    <w:p w:rsidR="00A21EAA" w:rsidRDefault="00A21EAA" w:rsidP="00A21EAA">
      <w:pPr>
        <w:pBdr>
          <w:bottom w:val="single" w:sz="4" w:space="31" w:color="FFFFFF"/>
        </w:pBdr>
        <w:tabs>
          <w:tab w:val="left" w:pos="1440"/>
        </w:tabs>
        <w:spacing w:line="560" w:lineRule="exact"/>
        <w:ind w:firstLineChars="200" w:firstLine="640"/>
        <w:rPr>
          <w:rFonts w:eastAsia="方正仿宋简体"/>
          <w:color w:val="000000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从总体上看，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202</w:t>
      </w:r>
      <w:r>
        <w:rPr>
          <w:rFonts w:eastAsia="方正仿宋简体" w:hint="eastAsia"/>
          <w:color w:val="000000"/>
          <w:sz w:val="32"/>
          <w:szCs w:val="32"/>
        </w:rPr>
        <w:t>4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年市本级预算执行较为平稳，但仍然存在一些困难和问题，主要是：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外部环境复杂严峻，国内总需求不足、预期不振、传统产业利润下降，新兴未来产业培育成效有待显现，</w:t>
      </w:r>
      <w:r>
        <w:rPr>
          <w:rFonts w:eastAsia="方正仿宋简体" w:cs="仿宋" w:hint="eastAsia"/>
          <w:color w:val="000000"/>
          <w:sz w:val="32"/>
          <w:szCs w:val="32"/>
        </w:rPr>
        <w:t>税收增长承压，土地出让收入下降，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财政收入支撑走弱；落实</w:t>
      </w:r>
      <w:r>
        <w:rPr>
          <w:rFonts w:eastAsia="方正仿宋简体" w:cs="仿宋" w:hint="eastAsia"/>
          <w:color w:val="000000"/>
          <w:sz w:val="32"/>
          <w:szCs w:val="32"/>
        </w:rPr>
        <w:t>基层“三保”、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上级重大决策部署、</w:t>
      </w:r>
      <w:r>
        <w:rPr>
          <w:rFonts w:eastAsia="方正仿宋简体" w:cs="仿宋" w:hint="eastAsia"/>
          <w:color w:val="000000"/>
          <w:sz w:val="32"/>
          <w:szCs w:val="32"/>
        </w:rPr>
        <w:t>债务还本付息、</w:t>
      </w:r>
      <w:bookmarkStart w:id="2" w:name="_GoBack"/>
      <w:bookmarkEnd w:id="2"/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“抓项目、促发展”、民生社会事业补短板等重点领域刚性支出需求加大，财政处于“紧平衡”状态。我们将高度重视这些问题，采取切实有效措施加以破解</w:t>
      </w:r>
      <w:r>
        <w:rPr>
          <w:rFonts w:ascii="Times New Roman" w:eastAsia="方正仿宋简体" w:hAnsi="Times New Roman"/>
          <w:color w:val="000000"/>
          <w:spacing w:val="-6"/>
          <w:sz w:val="32"/>
          <w:szCs w:val="32"/>
        </w:rPr>
        <w:t>。</w:t>
      </w:r>
    </w:p>
    <w:p w:rsidR="00A21EAA" w:rsidRDefault="00A21EAA" w:rsidP="00A21EAA">
      <w:pPr>
        <w:pBdr>
          <w:bottom w:val="single" w:sz="4" w:space="31" w:color="FFFFFF"/>
        </w:pBdr>
        <w:spacing w:line="560" w:lineRule="exact"/>
        <w:ind w:firstLineChars="200" w:firstLine="640"/>
        <w:rPr>
          <w:rFonts w:eastAsia="方正仿宋简体" w:cs="仿宋"/>
          <w:color w:val="000000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今后，我们将</w:t>
      </w:r>
      <w:r>
        <w:rPr>
          <w:rFonts w:eastAsia="方正仿宋简体" w:hint="eastAsia"/>
          <w:color w:val="000000"/>
          <w:sz w:val="32"/>
          <w:szCs w:val="32"/>
        </w:rPr>
        <w:t>严格执行好市人大及其常委会的有关决议和审议意见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，传承弘扬、创新发展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晋江经验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，</w:t>
      </w:r>
      <w:r>
        <w:rPr>
          <w:rFonts w:eastAsia="方正仿宋简体" w:hint="eastAsia"/>
          <w:color w:val="000000"/>
          <w:sz w:val="32"/>
          <w:szCs w:val="32"/>
        </w:rPr>
        <w:t>持续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深化拓展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深学争优、敢为争先、实干争效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行动，加力保障大拼经济、大抓发展系列专项行动，扎实深化财政改革，实施</w:t>
      </w:r>
      <w:r>
        <w:rPr>
          <w:rFonts w:ascii="Times New Roman" w:eastAsia="方正仿宋简体" w:hAnsi="Times New Roman"/>
          <w:color w:val="000000"/>
          <w:sz w:val="32"/>
          <w:szCs w:val="32"/>
        </w:rPr>
        <w:lastRenderedPageBreak/>
        <w:t>更加积极的财政政策，促进经济社会高质量发展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。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重点做好以下几项工作：</w:t>
      </w:r>
      <w:r>
        <w:rPr>
          <w:rFonts w:eastAsia="方正仿宋简体" w:cs="仿宋" w:hint="eastAsia"/>
          <w:b/>
          <w:bCs/>
          <w:color w:val="000000"/>
          <w:sz w:val="32"/>
          <w:szCs w:val="32"/>
        </w:rPr>
        <w:t>一是</w:t>
      </w:r>
      <w:r>
        <w:rPr>
          <w:rFonts w:ascii="Times New Roman" w:eastAsia="方正仿宋简体" w:hAnsi="Times New Roman" w:cs="仿宋" w:hint="eastAsia"/>
          <w:b/>
          <w:bCs/>
          <w:color w:val="000000"/>
          <w:sz w:val="32"/>
          <w:szCs w:val="32"/>
        </w:rPr>
        <w:t>着力强化增收节支，有效保障服务大局</w:t>
      </w:r>
      <w:r>
        <w:rPr>
          <w:rFonts w:eastAsia="方正仿宋简体" w:cs="仿宋" w:hint="eastAsia"/>
          <w:b/>
          <w:bCs/>
          <w:color w:val="000000"/>
          <w:sz w:val="32"/>
          <w:szCs w:val="32"/>
        </w:rPr>
        <w:t>。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建立健全财税会商机制，</w:t>
      </w:r>
      <w:r>
        <w:rPr>
          <w:rFonts w:eastAsia="方正仿宋简体" w:cs="仿宋" w:hint="eastAsia"/>
          <w:color w:val="000000"/>
          <w:sz w:val="32"/>
          <w:szCs w:val="32"/>
        </w:rPr>
        <w:t>压紧压实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组织收入主体责任，充分发挥协同攻坚效能，凝聚组织收入合力</w:t>
      </w:r>
      <w:r>
        <w:rPr>
          <w:rFonts w:eastAsia="方正仿宋简体" w:cs="仿宋" w:hint="eastAsia"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聚焦产业链高质量重塑，强化招商引资和重点企业培育，培植成长性稳定性</w:t>
      </w:r>
      <w:r>
        <w:rPr>
          <w:rFonts w:eastAsia="方正仿宋简体" w:cs="仿宋" w:hint="eastAsia"/>
          <w:color w:val="000000"/>
          <w:sz w:val="32"/>
          <w:szCs w:val="32"/>
        </w:rPr>
        <w:t>税源，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充分挖掘非税资源空间，推动财政收入持续平稳增长。建立节约型财政保障机制，坚决落实过紧日子要求，严控一般性支出和“三公”经费，严格控制政策提标扩面，合理控制平衡政府投资规模</w:t>
      </w:r>
      <w:r>
        <w:rPr>
          <w:rFonts w:eastAsia="方正仿宋简体" w:cs="仿宋" w:hint="eastAsia"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强化“三保”、债务还本付息等重点领域财力保障。</w:t>
      </w:r>
      <w:r>
        <w:rPr>
          <w:rFonts w:eastAsia="方正仿宋简体" w:cs="仿宋" w:hint="eastAsia"/>
          <w:b/>
          <w:bCs/>
          <w:color w:val="000000"/>
          <w:sz w:val="32"/>
          <w:szCs w:val="32"/>
        </w:rPr>
        <w:t>二是</w:t>
      </w:r>
      <w:r>
        <w:rPr>
          <w:rFonts w:ascii="Times New Roman" w:eastAsia="方正仿宋简体" w:hAnsi="Times New Roman" w:cs="仿宋" w:hint="eastAsia"/>
          <w:b/>
          <w:bCs/>
          <w:color w:val="000000"/>
          <w:sz w:val="32"/>
          <w:szCs w:val="32"/>
        </w:rPr>
        <w:t>着力优化政策供给，支撑做强实体经济</w:t>
      </w:r>
      <w:r>
        <w:rPr>
          <w:rFonts w:eastAsia="方正仿宋简体" w:cs="仿宋" w:hint="eastAsia"/>
          <w:b/>
          <w:bCs/>
          <w:color w:val="000000"/>
          <w:sz w:val="32"/>
          <w:szCs w:val="32"/>
        </w:rPr>
        <w:t>。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聚焦科技创新引领和推进新型工业化，</w:t>
      </w:r>
      <w:r>
        <w:rPr>
          <w:rFonts w:eastAsia="方正仿宋简体" w:cs="仿宋" w:hint="eastAsia"/>
          <w:color w:val="000000"/>
          <w:sz w:val="32"/>
          <w:szCs w:val="32"/>
        </w:rPr>
        <w:t>围绕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专精特新</w:t>
      </w:r>
      <w:r>
        <w:rPr>
          <w:rFonts w:eastAsia="方正仿宋简体" w:cs="仿宋" w:hint="eastAsia"/>
          <w:color w:val="000000"/>
          <w:sz w:val="32"/>
          <w:szCs w:val="32"/>
        </w:rPr>
        <w:t>梯度培育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、产业智转数改、科技研发创新、行业企业培优扶强、公共服务平台建设等重点</w:t>
      </w:r>
      <w:r>
        <w:rPr>
          <w:rFonts w:eastAsia="方正仿宋简体" w:cs="仿宋" w:hint="eastAsia"/>
          <w:color w:val="000000"/>
          <w:sz w:val="32"/>
          <w:szCs w:val="32"/>
        </w:rPr>
        <w:t>领域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，持续优化财政政策供给</w:t>
      </w:r>
      <w:r>
        <w:rPr>
          <w:rFonts w:eastAsia="方正仿宋简体" w:cs="仿宋" w:hint="eastAsia"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定期做好政策评估</w:t>
      </w:r>
      <w:r>
        <w:rPr>
          <w:rFonts w:eastAsia="方正仿宋简体" w:cs="仿宋" w:hint="eastAsia"/>
          <w:color w:val="000000"/>
          <w:sz w:val="32"/>
          <w:szCs w:val="32"/>
        </w:rPr>
        <w:t>优化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，</w:t>
      </w:r>
      <w:r>
        <w:rPr>
          <w:rFonts w:eastAsia="方正仿宋简体" w:cs="仿宋" w:hint="eastAsia"/>
          <w:color w:val="000000"/>
          <w:sz w:val="32"/>
          <w:szCs w:val="32"/>
        </w:rPr>
        <w:t>提高积极财政政策效能。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创新财政政策扶持方式</w:t>
      </w:r>
      <w:r>
        <w:rPr>
          <w:rFonts w:eastAsia="方正仿宋简体" w:cs="仿宋" w:hint="eastAsia"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加大“补改投”力度，充分发挥政府引导基金等政府投资基金作用，撬动社会资本参与重大</w:t>
      </w:r>
      <w:r>
        <w:rPr>
          <w:rFonts w:eastAsia="方正仿宋简体" w:cs="仿宋" w:hint="eastAsia"/>
          <w:color w:val="000000"/>
          <w:sz w:val="32"/>
          <w:szCs w:val="32"/>
        </w:rPr>
        <w:t>招商引资和重点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产业</w:t>
      </w:r>
      <w:r>
        <w:rPr>
          <w:rFonts w:eastAsia="方正仿宋简体" w:cs="仿宋" w:hint="eastAsia"/>
          <w:color w:val="000000"/>
          <w:sz w:val="32"/>
          <w:szCs w:val="32"/>
        </w:rPr>
        <w:t>领域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投资。完善财政正向激励机制，加大对工业（产业）园区标准化、外贸扩容提质、项目投建运营等重点工作成效明显地区的</w:t>
      </w:r>
      <w:r>
        <w:rPr>
          <w:rFonts w:eastAsia="方正仿宋简体" w:cs="仿宋" w:hint="eastAsia"/>
          <w:color w:val="000000"/>
          <w:sz w:val="32"/>
          <w:szCs w:val="32"/>
        </w:rPr>
        <w:t>支持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力度。</w:t>
      </w:r>
      <w:r>
        <w:rPr>
          <w:rFonts w:eastAsia="方正仿宋简体" w:cs="仿宋" w:hint="eastAsia"/>
          <w:b/>
          <w:bCs/>
          <w:color w:val="000000"/>
          <w:sz w:val="32"/>
          <w:szCs w:val="32"/>
        </w:rPr>
        <w:t>三是</w:t>
      </w:r>
      <w:r>
        <w:rPr>
          <w:rFonts w:ascii="Times New Roman" w:eastAsia="方正仿宋简体" w:hAnsi="Times New Roman" w:cs="仿宋" w:hint="eastAsia"/>
          <w:b/>
          <w:bCs/>
          <w:color w:val="000000"/>
          <w:sz w:val="32"/>
          <w:szCs w:val="32"/>
        </w:rPr>
        <w:t>着力经营运作提效，拉动需求稳步增长</w:t>
      </w:r>
      <w:r>
        <w:rPr>
          <w:rFonts w:eastAsia="方正仿宋简体" w:cs="仿宋" w:hint="eastAsia"/>
          <w:b/>
          <w:bCs/>
          <w:color w:val="000000"/>
          <w:sz w:val="32"/>
          <w:szCs w:val="32"/>
        </w:rPr>
        <w:t>。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强化“财政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+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”思维运作，聚焦环湾中心城市建设、聚城畅通、城市更新等片区开发和重点项目建设，做足财政统筹、国企承载、金融赋能文章，构建规范化、多元化、可持续运作保障体系。完善专项债券项目标准化管理机制，争取获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lastRenderedPageBreak/>
        <w:t>批更多产业园区、生态环保、民生保障等领域债券项目</w:t>
      </w:r>
      <w:r>
        <w:rPr>
          <w:rFonts w:eastAsia="方正仿宋简体" w:cs="仿宋" w:hint="eastAsia"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落实好中央超长期特别国债资金支持“两重”“两新”政策</w:t>
      </w:r>
      <w:r>
        <w:rPr>
          <w:rFonts w:eastAsia="方正仿宋简体" w:cs="仿宋" w:hint="eastAsia"/>
          <w:color w:val="000000"/>
          <w:sz w:val="32"/>
          <w:szCs w:val="32"/>
        </w:rPr>
        <w:t>，支持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扩大有效</w:t>
      </w:r>
      <w:r>
        <w:rPr>
          <w:rFonts w:eastAsia="方正仿宋简体" w:cs="仿宋" w:hint="eastAsia"/>
          <w:color w:val="000000"/>
          <w:sz w:val="32"/>
          <w:szCs w:val="32"/>
        </w:rPr>
        <w:t>投资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。综合采取资本金注入、资源配置、投资补助、贴息奖补等措施，引导国有企业以市场化方式合规承载政府基础设施、公共服务建设及产业发展。</w:t>
      </w:r>
      <w:r>
        <w:rPr>
          <w:rFonts w:eastAsia="方正仿宋简体" w:cs="仿宋" w:hint="eastAsia"/>
          <w:color w:val="000000"/>
          <w:sz w:val="32"/>
          <w:szCs w:val="32"/>
        </w:rPr>
        <w:t>着力围绕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续建基础设施、地下管网、城市更新、新型城镇化建设等重点领域，精准策划成熟高质项目，争取更多</w:t>
      </w:r>
      <w:r>
        <w:rPr>
          <w:rFonts w:eastAsia="方正仿宋简体" w:cs="仿宋" w:hint="eastAsia"/>
          <w:color w:val="000000"/>
          <w:sz w:val="32"/>
          <w:szCs w:val="32"/>
        </w:rPr>
        <w:t>上级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政策资金支持。</w:t>
      </w:r>
      <w:r>
        <w:rPr>
          <w:rFonts w:eastAsia="方正仿宋简体" w:cs="仿宋" w:hint="eastAsia"/>
          <w:b/>
          <w:bCs/>
          <w:color w:val="000000"/>
          <w:sz w:val="32"/>
          <w:szCs w:val="32"/>
        </w:rPr>
        <w:t>四是</w:t>
      </w:r>
      <w:r>
        <w:rPr>
          <w:rFonts w:ascii="Times New Roman" w:eastAsia="方正仿宋简体" w:hAnsi="Times New Roman" w:cs="仿宋" w:hint="eastAsia"/>
          <w:b/>
          <w:bCs/>
          <w:color w:val="000000"/>
          <w:sz w:val="32"/>
          <w:szCs w:val="32"/>
        </w:rPr>
        <w:t>着力惠民生补短板，做实做优社会保障</w:t>
      </w:r>
      <w:r>
        <w:rPr>
          <w:rFonts w:eastAsia="方正仿宋简体" w:cs="仿宋" w:hint="eastAsia"/>
          <w:b/>
          <w:bCs/>
          <w:color w:val="000000"/>
          <w:sz w:val="32"/>
          <w:szCs w:val="32"/>
        </w:rPr>
        <w:t>。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实施惠民生补短板专项行动，做好教育、医疗卫生、社会保障、文化体育、住房保障等民生领域资金保障，</w:t>
      </w:r>
      <w:r>
        <w:rPr>
          <w:rFonts w:eastAsia="方正仿宋简体" w:cs="仿宋" w:hint="eastAsia"/>
          <w:color w:val="000000"/>
          <w:sz w:val="32"/>
          <w:szCs w:val="32"/>
        </w:rPr>
        <w:t>统筹支持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办好民</w:t>
      </w:r>
      <w:r>
        <w:rPr>
          <w:rFonts w:eastAsia="方正仿宋简体" w:cs="仿宋" w:hint="eastAsia"/>
          <w:color w:val="000000"/>
          <w:sz w:val="32"/>
          <w:szCs w:val="32"/>
        </w:rPr>
        <w:t>生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实事。加大职业技能培训支持力度，完善公共就业服务体系，鼓励创业带动就业，支持重点群体就业。完善乡村振兴投入机制，统筹用好财政涉农资金，深入实施“千村示范引领、万村共富共美”工程，加快补齐农业农村发展短板。建立多元化生态保护修复投入机制，推动发展绿色低碳循环经济，实施重要生态系统保护和修复重大工程，支持生态文明建设。</w:t>
      </w:r>
      <w:r>
        <w:rPr>
          <w:rFonts w:eastAsia="方正仿宋简体" w:cs="仿宋" w:hint="eastAsia"/>
          <w:b/>
          <w:bCs/>
          <w:color w:val="000000"/>
          <w:sz w:val="32"/>
          <w:szCs w:val="32"/>
        </w:rPr>
        <w:t>五是</w:t>
      </w:r>
      <w:r>
        <w:rPr>
          <w:rFonts w:ascii="Times New Roman" w:eastAsia="方正仿宋简体" w:hAnsi="Times New Roman" w:cs="仿宋" w:hint="eastAsia"/>
          <w:b/>
          <w:bCs/>
          <w:color w:val="000000"/>
          <w:sz w:val="32"/>
          <w:szCs w:val="32"/>
        </w:rPr>
        <w:t>着力加大改革力度，提升财政运行质效</w:t>
      </w:r>
      <w:r>
        <w:rPr>
          <w:rFonts w:eastAsia="方正仿宋简体" w:cs="仿宋" w:hint="eastAsia"/>
          <w:b/>
          <w:bCs/>
          <w:color w:val="000000"/>
          <w:sz w:val="32"/>
          <w:szCs w:val="32"/>
        </w:rPr>
        <w:t>。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深化财税体制改革，加强财政资源和预算统筹，集中财力办大事，统筹资源解难事。完善政府预算管理，深化零基预算改革，推进绩效与预算管理深度融合，强化绩效运行监控，做细做实绩效评价，硬化绩效评价结果应用，促进财政资金规范高效使用。开展数据资产全过程管理试点，加快数字财政建设。依法履行财会监督主责，深入开展重点领域财会监督专项行动，坚决查处有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lastRenderedPageBreak/>
        <w:t>令不行、有禁不止等违规违纪行为。周密落实“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1+4</w:t>
      </w:r>
      <w:r>
        <w:rPr>
          <w:rFonts w:ascii="Times New Roman" w:eastAsia="方正仿宋简体" w:hAnsi="Times New Roman" w:cs="仿宋" w:hint="eastAsia"/>
          <w:color w:val="000000"/>
          <w:sz w:val="32"/>
          <w:szCs w:val="32"/>
        </w:rPr>
        <w:t>”化债方案，严格落实控债化债减债措施，强化“三保”供给、库款保障、地方偿债等动态监测和风险防范，筑牢财政安全运行底线。</w:t>
      </w:r>
    </w:p>
    <w:p w:rsidR="00A21EAA" w:rsidRDefault="00A21EAA" w:rsidP="00A21EAA">
      <w:pPr>
        <w:pBdr>
          <w:bottom w:val="single" w:sz="4" w:space="31" w:color="FFFFFF"/>
        </w:pBdr>
        <w:spacing w:line="560" w:lineRule="exact"/>
        <w:ind w:firstLineChars="200" w:firstLine="640"/>
        <w:rPr>
          <w:rFonts w:eastAsia="方正仿宋简体" w:cs="仿宋"/>
          <w:color w:val="000000"/>
          <w:szCs w:val="32"/>
        </w:rPr>
      </w:pPr>
    </w:p>
    <w:p w:rsidR="004358AB" w:rsidRDefault="00A21EAA" w:rsidP="00A21EAA">
      <w:pPr>
        <w:spacing w:line="220" w:lineRule="atLeast"/>
      </w:pPr>
      <w:r>
        <w:rPr>
          <w:rFonts w:ascii="Times New Roman" w:eastAsia="方正仿宋简体" w:hAnsi="Times New Roman" w:cs="仿宋"/>
          <w:color w:val="000000"/>
          <w:sz w:val="32"/>
          <w:szCs w:val="32"/>
        </w:rPr>
        <w:t>附件：</w:t>
      </w:r>
      <w:r>
        <w:rPr>
          <w:rFonts w:ascii="Times New Roman" w:eastAsia="方正仿宋简体" w:hAnsi="Times New Roman" w:cs="仿宋"/>
          <w:color w:val="000000"/>
          <w:sz w:val="32"/>
          <w:szCs w:val="32"/>
        </w:rPr>
        <w:t>202</w:t>
      </w:r>
      <w:r>
        <w:rPr>
          <w:rFonts w:eastAsia="方正仿宋简体" w:cs="仿宋" w:hint="eastAsia"/>
          <w:color w:val="000000"/>
          <w:sz w:val="32"/>
          <w:szCs w:val="32"/>
        </w:rPr>
        <w:t>4</w:t>
      </w:r>
      <w:r>
        <w:rPr>
          <w:rFonts w:ascii="Times New Roman" w:eastAsia="方正仿宋简体" w:hAnsi="Times New Roman" w:cs="仿宋"/>
          <w:color w:val="000000"/>
          <w:sz w:val="32"/>
          <w:szCs w:val="32"/>
        </w:rPr>
        <w:t>年度泉州市本级财政收支决算表（草案）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B6C" w:rsidRDefault="001A7B6C" w:rsidP="00A21EAA">
      <w:pPr>
        <w:spacing w:after="0"/>
      </w:pPr>
      <w:r>
        <w:separator/>
      </w:r>
    </w:p>
  </w:endnote>
  <w:endnote w:type="continuationSeparator" w:id="0">
    <w:p w:rsidR="001A7B6C" w:rsidRDefault="001A7B6C" w:rsidP="00A21E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B6C" w:rsidRDefault="001A7B6C" w:rsidP="00A21EAA">
      <w:pPr>
        <w:spacing w:after="0"/>
      </w:pPr>
      <w:r>
        <w:separator/>
      </w:r>
    </w:p>
  </w:footnote>
  <w:footnote w:type="continuationSeparator" w:id="0">
    <w:p w:rsidR="001A7B6C" w:rsidRDefault="001A7B6C" w:rsidP="00A21EA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7B6C"/>
    <w:rsid w:val="00323B43"/>
    <w:rsid w:val="003D37D8"/>
    <w:rsid w:val="00426133"/>
    <w:rsid w:val="004358AB"/>
    <w:rsid w:val="005354AF"/>
    <w:rsid w:val="008B7726"/>
    <w:rsid w:val="00A21EAA"/>
    <w:rsid w:val="00BE534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E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EA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1EA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1EA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2025-09-26T07:43:00Z</dcterms:modified>
</cp:coreProperties>
</file>