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pacing w:before="0" w:beforeLines="0" w:after="0" w:afterLines="0" w:line="520" w:lineRule="exact"/>
        <w:jc w:val="center"/>
        <w:textAlignment w:val="auto"/>
        <w:rPr>
          <w:rFonts w:hint="eastAsia" w:ascii="方正小标宋简体" w:hAnsi="方正小标宋简体" w:eastAsia="方正小标宋简体" w:cs="方正小标宋简体"/>
          <w:b w:val="0"/>
          <w:bCs/>
          <w:sz w:val="32"/>
          <w:szCs w:val="18"/>
        </w:rPr>
      </w:pPr>
      <w:r>
        <w:rPr>
          <w:rFonts w:hint="eastAsia" w:ascii="方正小标宋简体" w:hAnsi="方正小标宋简体" w:eastAsia="方正小标宋简体" w:cs="方正小标宋简体"/>
          <w:b w:val="0"/>
          <w:bCs/>
          <w:sz w:val="32"/>
          <w:szCs w:val="18"/>
          <w:lang w:val="en-US" w:eastAsia="zh-CN"/>
        </w:rPr>
        <w:t>2024年泉州市本级</w:t>
      </w:r>
      <w:r>
        <w:rPr>
          <w:rFonts w:hint="eastAsia" w:ascii="方正小标宋简体" w:hAnsi="方正小标宋简体" w:eastAsia="方正小标宋简体" w:cs="方正小标宋简体"/>
          <w:b w:val="0"/>
          <w:bCs/>
          <w:sz w:val="32"/>
          <w:szCs w:val="18"/>
        </w:rPr>
        <w:t>政府预决算相关重要事项说明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黑体" w:eastAsia="仿宋_GB2312" w:cs="仿宋_GB2312"/>
          <w:b/>
          <w:bCs/>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hAnsi="仿宋" w:eastAsia="仿宋_GB2312" w:cs="仿宋_GB2312"/>
          <w:b/>
          <w:bCs/>
          <w:kern w:val="0"/>
          <w:sz w:val="32"/>
          <w:szCs w:val="32"/>
          <w:u w:val="none" w:color="auto"/>
        </w:rPr>
      </w:pPr>
      <w:r>
        <w:rPr>
          <w:rFonts w:hint="eastAsia" w:ascii="仿宋_GB2312" w:hAnsi="黑体" w:eastAsia="仿宋_GB2312" w:cs="仿宋_GB2312"/>
          <w:b/>
          <w:bCs/>
          <w:sz w:val="32"/>
          <w:szCs w:val="32"/>
          <w:u w:val="none" w:color="auto"/>
        </w:rPr>
        <w:t>一、</w:t>
      </w:r>
      <w:r>
        <w:rPr>
          <w:rFonts w:hint="eastAsia" w:ascii="仿宋_GB2312" w:hAnsi="仿宋" w:eastAsia="仿宋_GB2312" w:cs="仿宋_GB2312"/>
          <w:b/>
          <w:bCs/>
          <w:kern w:val="0"/>
          <w:sz w:val="32"/>
          <w:szCs w:val="32"/>
          <w:u w:val="none" w:color="auto"/>
        </w:rPr>
        <w:t>泉州本级支出预算说明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u w:val="none" w:color="auto"/>
        </w:rPr>
      </w:pPr>
      <w:r>
        <w:rPr>
          <w:rFonts w:hint="eastAsia" w:ascii="仿宋_GB2312" w:hAnsi="仿宋" w:eastAsia="仿宋_GB2312" w:cs="仿宋_GB2312"/>
          <w:kern w:val="0"/>
          <w:sz w:val="32"/>
          <w:szCs w:val="32"/>
          <w:u w:val="none" w:color="auto"/>
          <w:lang w:eastAsia="zh-CN"/>
        </w:rPr>
        <w:t>2024</w:t>
      </w:r>
      <w:r>
        <w:rPr>
          <w:rFonts w:hint="eastAsia" w:ascii="仿宋_GB2312" w:hAnsi="仿宋" w:eastAsia="仿宋_GB2312" w:cs="仿宋_GB2312"/>
          <w:kern w:val="0"/>
          <w:sz w:val="32"/>
          <w:szCs w:val="32"/>
          <w:u w:val="none" w:color="auto"/>
        </w:rPr>
        <w:t>年度泉州市本级一般公共预算支出数为</w:t>
      </w:r>
      <w:r>
        <w:rPr>
          <w:rFonts w:hint="eastAsia" w:ascii="仿宋_GB2312" w:hAnsi="仿宋" w:eastAsia="仿宋_GB2312" w:cs="仿宋_GB2312"/>
          <w:kern w:val="0"/>
          <w:sz w:val="32"/>
          <w:szCs w:val="32"/>
          <w:u w:val="none" w:color="auto"/>
          <w:lang w:val="en-US" w:eastAsia="zh-CN"/>
        </w:rPr>
        <w:t>1772364</w:t>
      </w:r>
      <w:r>
        <w:rPr>
          <w:rFonts w:hint="eastAsia" w:ascii="仿宋_GB2312" w:hAnsi="仿宋" w:eastAsia="仿宋_GB2312" w:cs="仿宋_GB2312"/>
          <w:kern w:val="0"/>
          <w:sz w:val="32"/>
          <w:szCs w:val="32"/>
          <w:u w:val="none" w:color="auto"/>
        </w:rPr>
        <w:t>万元，比202</w:t>
      </w:r>
      <w:r>
        <w:rPr>
          <w:rFonts w:hint="eastAsia" w:ascii="仿宋_GB2312" w:hAnsi="仿宋" w:eastAsia="仿宋_GB2312" w:cs="仿宋_GB2312"/>
          <w:kern w:val="0"/>
          <w:sz w:val="32"/>
          <w:szCs w:val="32"/>
          <w:u w:val="none" w:color="auto"/>
          <w:lang w:val="en-US" w:eastAsia="zh-CN"/>
        </w:rPr>
        <w:t>3</w:t>
      </w:r>
      <w:r>
        <w:rPr>
          <w:rFonts w:hint="eastAsia" w:ascii="仿宋_GB2312" w:hAnsi="仿宋" w:eastAsia="仿宋_GB2312" w:cs="仿宋_GB2312"/>
          <w:kern w:val="0"/>
          <w:sz w:val="32"/>
          <w:szCs w:val="32"/>
          <w:u w:val="none" w:color="auto"/>
        </w:rPr>
        <w:t>年预算数增加186490万元，增长11.76%。具体情况如下：</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（一)201-一般公共服务支出136492万元，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预算数减少3852万元，下降2.74%，其中：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1、20101-人大事务3293万元，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预算数减少378万元，下降10.3%。</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2、20102-政协事务2737万元，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预算数减少328万元，下降10.7%。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3、20103-政府办公厅(室)及相关机构事务27050万元，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预算数减少207万元，下降0.76%。</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4、20104-发展与改革事务8259万元，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预算数减少1289万元，下降13.5%。</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5、20105-统计信息事务2140万元，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预算数增加578万元，增长37%。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6、20106-财政事务5647万元，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预算数增加168万元，增长3.07%。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7、20107-税收事务8185万元，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预算数增加510万元，增长6.64%。</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8、20108-审计事务2079万元，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预算数增加190万元，增长10.06%。</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9、20111-纪检监察事务12623万元，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预算数增加2036万元，增长19.23%。</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10、20113-商贸事务4174万元，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预算数增加1143万元，增长37.71%。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11、20114-知识产权事务1854万元，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预算数增加450万元，增长32.05%。</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12、20123-民族事务176万元，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预算数增加140万元，增长388.89%。</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13、20126-档案事务6287万元，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预算数减少601万元，下降8.73%。</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14、20128-民主党派及工商联事务2325万元，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预算数减少184万元，下降7.33%。</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15、20129-群众团体事务4378万元，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预算数增加215万元，增长5.16%。</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16、20131-党委办公厅(室)及相关机构事务8200万元，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预算数增加77万元，增长0.95%。</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17、20132-组织事务5599万元，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预算数减少7661万元，下降57.78%。</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18、20133-宣传事务3247万元，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预算数增加101万元，增长3.21%。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19、20134-统战事务2821万元，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预算数增加450万元，增长18.98%。</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20、20136-其他共产党事务支出1609万元，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预算数减少586万元，下降26.7%。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21、20137-网信事务888万元，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预算数增加122万元，增长15.93%。</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22、20138-市场监督管理事务13981万元，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预算数减少261万元，下降1.83%。</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23、20140-信访事务777万元，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预算数增加777万元，增长100%。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24、20199-其他一般公共服务支出8163万元，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预算数增加971万元，增长13.5%。</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（二)203-国防支出5856万元，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预算数增加3392万元，增长137.66%，其中：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1、20306-国防动员2270万元，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预算数减少194万元，下降7.87%。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2、20399-其他国防支出3586万元，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预算数增加3586万元，增长100%。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（三)204-公共安全支出157412万元，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预算数增加894万元，增长0.57%，其中：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1、20401-武装警察部队576万元，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预算数减少393万元，下降40.56%。</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2、20402-公安144931万元，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预算数增加3504万元，增长2.48%。</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3、20403-国家安全26万元，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预算数减少601万元，下降95.85%。</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4、20404-检察3221万元，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预算数减少1359万元，下降29.67%。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5、20405-法院1493万元，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预算数增加414万元，增长38.37%。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6、20406-司法2852万元，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预算数减少159万元，下降5.28%。</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7、20409-国家保密25万元，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预算数减少10万元，下降28.57%。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8、20499-其他公共安全支出4288万元，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预算数减少502万元，下降10.48%。</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（四)205-教育支出259362万元，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预算数增加14562万元，增长5.95%，其中：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1、20501-教育管理事务4174万元，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预算数减少181万元，下降4.16%。</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2、20502-普通教育154274万元，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预算数增加8502万元，增长5.83%。</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3、20503-职业教育78750万元，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预算数增加7242万元，增长10.13%。</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4、20505-广播电视教育375万元，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预算数减少209万元，下降35.79%。</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5、20507-特殊教育3157万元，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预算数增加135万元，增长4.47%。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6、20508-进修及培训5808万元，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预算数增加1783万元，增长44.3%。</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7、20509-教育费附加安排的支出12824万元，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预算数减少2710万元，下降17.45%。</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（五)206-科学技术支出45983万元，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预算数增加1492万元，增长3.35%，其中：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1、20601-科学技术管理事务1109万元，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预算数减少22万元，下降1.95%。</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2、20602-基础研究2186万元，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预算数减少222万元，下降9.22%。</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3、20604-技术研究与开发31528万元，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预算数增加569万元，增长1.84%。</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4、20605-科技条件与服务322万元，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预算数减少49万元，下降13.21%。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5、20606-社会科学266万元，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预算数减少3万元，下降1.12%。</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6、20607-科学技术普及1125万元，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预算数增加2万元，增长0.18%。</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7、20699-其他科学技术支出9447万元，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预算数增加1217万元，增长14.79%。</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（六)207-文化旅游体育与传媒支出47520万元，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预算数增加452万元，增长0.96%，其中：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1、20701-文化和旅游26304万元，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预算数增加5960万元，增长29.3%。</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2、20702-文物7845万元，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预算数增加763万元，增长10.77%。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3、20703-体育5505万元，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预算数减少2930万元，下降34.74%。</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4、20706-新闻出版电影1728万元，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预算数减少107万元，下降5.83%。</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5、20708-广播电视2321万元，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预算数减少51万元，下降2.15%。</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6、20799-其他文化旅游体育与传媒支出3817万元，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预算数减少3183万元，下降45.47%。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（七)208-社会保障和就业支出163027万元，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预算数增加31064万元，增长23.54%，其中：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lang w:eastAsia="zh-CN"/>
        </w:rPr>
      </w:pPr>
      <w:r>
        <w:rPr>
          <w:rFonts w:hint="eastAsia" w:ascii="仿宋_GB2312" w:eastAsia="仿宋_GB2312"/>
          <w:sz w:val="32"/>
          <w:szCs w:val="32"/>
          <w:u w:val="none" w:color="auto"/>
        </w:rPr>
        <w:t>1、20801-人力资源和社会保障管理事务15334万元，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预算数增加8288万元，增长117.63%。</w:t>
      </w:r>
      <w:r>
        <w:rPr>
          <w:rFonts w:hint="eastAsia" w:ascii="仿宋_GB2312" w:eastAsia="仿宋_GB2312"/>
          <w:sz w:val="32"/>
          <w:szCs w:val="32"/>
          <w:u w:val="none" w:color="auto"/>
          <w:lang w:eastAsia="zh-CN"/>
        </w:rPr>
        <w:t>主要是人才专项支出增加。</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2、20802-民政管理事务1926万元，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预算数减少70万元，下降3.51%。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lang w:eastAsia="zh-CN"/>
        </w:rPr>
      </w:pPr>
      <w:r>
        <w:rPr>
          <w:rFonts w:hint="eastAsia" w:ascii="仿宋_GB2312" w:eastAsia="仿宋_GB2312"/>
          <w:sz w:val="32"/>
          <w:szCs w:val="32"/>
          <w:u w:val="none" w:color="auto"/>
        </w:rPr>
        <w:t>3、20805-行政事业单位养老支出97019万元，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预算数增加11511万元，增长13.46%。</w:t>
      </w:r>
      <w:r>
        <w:rPr>
          <w:rFonts w:hint="eastAsia" w:ascii="仿宋_GB2312" w:eastAsia="仿宋_GB2312"/>
          <w:sz w:val="32"/>
          <w:szCs w:val="32"/>
          <w:u w:val="none" w:color="auto"/>
          <w:lang w:eastAsia="zh-CN"/>
        </w:rPr>
        <w:t>主要是行政事业单位基础性绩效奖纳入行政事业单位基本养老保险缴费基数增加支出。</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仿宋_GB2312" w:eastAsia="仿宋_GB2312"/>
          <w:sz w:val="32"/>
          <w:szCs w:val="32"/>
          <w:u w:val="none" w:color="auto"/>
          <w:lang w:val="en-US" w:eastAsia="zh-CN"/>
        </w:rPr>
      </w:pPr>
      <w:r>
        <w:rPr>
          <w:rFonts w:hint="eastAsia" w:ascii="仿宋_GB2312" w:eastAsia="仿宋_GB2312"/>
          <w:sz w:val="32"/>
          <w:szCs w:val="32"/>
          <w:u w:val="none" w:color="auto"/>
        </w:rPr>
        <w:t>4、20807-就业补助16556万元，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预算数增加8910万元，增长116.53%。</w:t>
      </w:r>
      <w:r>
        <w:rPr>
          <w:rFonts w:hint="eastAsia" w:ascii="仿宋_GB2312" w:eastAsia="仿宋_GB2312"/>
          <w:sz w:val="32"/>
          <w:szCs w:val="32"/>
          <w:u w:val="none" w:color="auto"/>
          <w:lang w:eastAsia="zh-CN"/>
        </w:rPr>
        <w:t>主要是省提前下达补助</w:t>
      </w:r>
      <w:r>
        <w:rPr>
          <w:rFonts w:hint="eastAsia" w:ascii="仿宋_GB2312" w:eastAsia="仿宋_GB2312"/>
          <w:sz w:val="32"/>
          <w:szCs w:val="32"/>
          <w:u w:val="none" w:color="auto"/>
          <w:lang w:val="en-US" w:eastAsia="zh-CN"/>
        </w:rPr>
        <w:t>增加11029万元。</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5、20808-抚恤4467万元，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预算数增加497万元，增长12.52%。</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6、20809-退役安置1442万元，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预算数增加79万元，增长5.8%。</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7、20810-社会福利2103万元，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预算数增加35万元，增长1.69%。</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8、20811-残疾人事业4439万元，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预算数减少1021万元，下降18.7%。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9、20819-最低生活保障2719万元，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预算数增加901万元，增长49.56%。</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10、20820-临时救助533万元，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预算数减少48万元，下降8.26%。</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11、20821-特困人员救助供养126万元，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预算数增加45万元，增长55.56%。</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12、20825-其他生活救助398万元，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预算数增加3万元，增长0.76%。</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13、20826-财政对基本养老保险基金的补助10066万元，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预算数增加1922万元，增长23.6%。</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14、20828-退役军人管理事务2354万元，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预算数减少778万元，下降24.84%。</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15、20899-其他社会保障和就业支出3545万元，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预算数增加790万元，增长28.68%。</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（八)210-卫生健康支出324262万元，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预算数增加22671万元，增长7.52%，其中：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1、21001-卫生健康管理事务2407万元，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预算数减少62万元，下降2.51%。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2、21002-公立医院25387万元，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预算数增加2714万元，增长11.97%。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3、21003-基层医疗卫生机构5766万元，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预算数增加1964万元，增长51.66%。</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4、21004-公共卫生12452万元，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预算数减少1780万元，下降12.51%。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5、21007-计划生育事务17729万元，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预算数增加3275万元，增长22.66%。</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6、21011-行政事业单位医疗21984万元，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预算数增加657万元，增长3.08%。</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仿宋_GB2312" w:eastAsia="仿宋_GB2312"/>
          <w:sz w:val="32"/>
          <w:szCs w:val="32"/>
          <w:u w:val="none" w:color="auto"/>
          <w:lang w:val="en-US" w:eastAsia="zh-CN"/>
        </w:rPr>
      </w:pPr>
      <w:r>
        <w:rPr>
          <w:rFonts w:hint="eastAsia" w:ascii="仿宋_GB2312" w:eastAsia="仿宋_GB2312"/>
          <w:sz w:val="32"/>
          <w:szCs w:val="32"/>
          <w:u w:val="none" w:color="auto"/>
        </w:rPr>
        <w:t>7、21012-财政对基本医疗保险基金的补助211077万元，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预算数增加13380万元，增长6.77%。</w:t>
      </w:r>
      <w:r>
        <w:rPr>
          <w:rFonts w:hint="eastAsia" w:ascii="仿宋_GB2312" w:eastAsia="仿宋_GB2312"/>
          <w:sz w:val="32"/>
          <w:szCs w:val="32"/>
          <w:u w:val="none" w:color="auto"/>
          <w:lang w:eastAsia="zh-CN"/>
        </w:rPr>
        <w:t>主要是省提前下达补助</w:t>
      </w:r>
      <w:r>
        <w:rPr>
          <w:rFonts w:hint="eastAsia" w:ascii="仿宋_GB2312" w:eastAsia="仿宋_GB2312"/>
          <w:sz w:val="32"/>
          <w:szCs w:val="32"/>
          <w:u w:val="none" w:color="auto"/>
          <w:lang w:val="en-US" w:eastAsia="zh-CN"/>
        </w:rPr>
        <w:t>增加9626万元。</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8、21013-医疗救助8691万元，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预算数增加1040万元，增长13.59%。</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9、21014-优抚对象医疗39万元，</w:t>
      </w:r>
      <w:bookmarkStart w:id="0" w:name="_GoBack"/>
      <w:bookmarkEnd w:id="0"/>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预算数减少10万元，下降20.41%。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10、21015-医疗保障管理事务8203万元，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预算数增加589万元，增长7.74%。</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11、21016-老龄卫生健康事务2411万元，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预算数增加245万元，增长11.31%。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12、21017-中医药事务823万元，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预算数增加823万元，增长100%。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13、21099-其他卫生健康支出7293万元，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预算数增加134万元，增长1.87%。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（九)211-节能环保支出53769万元，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预算数增加16847万元，增长45.63%，其中：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1、21101-环境保护管理事务19105万元，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预算数减少1078万元，下降5.34%。</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2、21102-环境监测与监察37万元，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预算数减少381万元，下降91.15%。</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仿宋_GB2312" w:eastAsia="仿宋_GB2312"/>
          <w:sz w:val="32"/>
          <w:szCs w:val="32"/>
          <w:u w:val="none" w:color="auto"/>
          <w:lang w:val="en-US" w:eastAsia="zh-CN"/>
        </w:rPr>
      </w:pPr>
      <w:r>
        <w:rPr>
          <w:rFonts w:hint="eastAsia" w:ascii="仿宋_GB2312" w:eastAsia="仿宋_GB2312"/>
          <w:sz w:val="32"/>
          <w:szCs w:val="32"/>
          <w:u w:val="none" w:color="auto"/>
        </w:rPr>
        <w:t>3、21103-污染防治18434万元，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预算数增加10299万元，增长126.6%。</w:t>
      </w:r>
      <w:r>
        <w:rPr>
          <w:rFonts w:hint="eastAsia" w:ascii="仿宋_GB2312" w:eastAsia="仿宋_GB2312"/>
          <w:sz w:val="32"/>
          <w:szCs w:val="32"/>
          <w:u w:val="none" w:color="auto"/>
          <w:lang w:eastAsia="zh-CN"/>
        </w:rPr>
        <w:t>主要是用于水体污染防治的支出</w:t>
      </w:r>
      <w:r>
        <w:rPr>
          <w:rFonts w:hint="eastAsia" w:ascii="仿宋_GB2312" w:eastAsia="仿宋_GB2312"/>
          <w:sz w:val="32"/>
          <w:szCs w:val="32"/>
          <w:u w:val="none" w:color="auto"/>
          <w:lang w:val="en-US" w:eastAsia="zh-CN"/>
        </w:rPr>
        <w:t>增加9524万元。</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仿宋_GB2312" w:eastAsia="仿宋_GB2312"/>
          <w:sz w:val="32"/>
          <w:szCs w:val="32"/>
          <w:u w:val="none" w:color="auto"/>
          <w:lang w:val="en-US" w:eastAsia="zh-CN"/>
        </w:rPr>
      </w:pPr>
      <w:r>
        <w:rPr>
          <w:rFonts w:hint="eastAsia" w:ascii="仿宋_GB2312" w:eastAsia="仿宋_GB2312"/>
          <w:sz w:val="32"/>
          <w:szCs w:val="32"/>
          <w:u w:val="none" w:color="auto"/>
        </w:rPr>
        <w:t>4、21104-自然生态保护11012万元，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预算数增加5920万元，增长116.26%。</w:t>
      </w:r>
      <w:r>
        <w:rPr>
          <w:rFonts w:hint="eastAsia" w:ascii="仿宋_GB2312" w:eastAsia="仿宋_GB2312"/>
          <w:sz w:val="32"/>
          <w:szCs w:val="32"/>
          <w:u w:val="none" w:color="auto"/>
          <w:lang w:eastAsia="zh-CN"/>
        </w:rPr>
        <w:t>主要是省提前下达补助</w:t>
      </w:r>
      <w:r>
        <w:rPr>
          <w:rFonts w:hint="eastAsia" w:ascii="仿宋_GB2312" w:eastAsia="仿宋_GB2312"/>
          <w:sz w:val="32"/>
          <w:szCs w:val="32"/>
          <w:u w:val="none" w:color="auto"/>
          <w:lang w:val="en-US" w:eastAsia="zh-CN"/>
        </w:rPr>
        <w:t>增加5711万元。</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5、21110-能源节约利用3055万元，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预算数增加2060万元，增长207.04%。</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6、21111-污染减排1691万元，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预算数减少118万元，下降6.52%。</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7、21199-其他节能环保支出435万元，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预算数增加145万元，增长50%。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w:t>
      </w:r>
      <w:r>
        <w:rPr>
          <w:rFonts w:hint="eastAsia" w:ascii="仿宋_GB2312" w:eastAsia="仿宋_GB2312"/>
          <w:sz w:val="32"/>
          <w:szCs w:val="32"/>
          <w:u w:val="none" w:color="auto"/>
          <w:lang w:eastAsia="zh-CN"/>
        </w:rPr>
        <w:t>十</w:t>
      </w:r>
      <w:r>
        <w:rPr>
          <w:rFonts w:hint="eastAsia" w:ascii="仿宋_GB2312" w:eastAsia="仿宋_GB2312"/>
          <w:sz w:val="32"/>
          <w:szCs w:val="32"/>
          <w:u w:val="none" w:color="auto"/>
        </w:rPr>
        <w:t>)212-城乡社区支出93146万元，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预算数增加2609万元，增长2.88%，其中：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1、21201-城乡社区管理事务18059万元，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预算数增加665万元，增长3.82%。</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2、21202-城乡社区规划与管理263万元，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预算数增加263万元，增长100%。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3、21203-城乡社区公共设施53647万元，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预算数增加2944万元，增长5.81%。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4、21205-城乡社区环境卫生18967万元，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预算数减少1070万元，下降5.34%。</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5、21206-建设市场管理与监督2205万元，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预算数减少178万元，下降7.47%。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6、21299-其他城乡社区支出5万元，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预算数减少15万元，下降75%。</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w:t>
      </w:r>
      <w:r>
        <w:rPr>
          <w:rFonts w:hint="eastAsia" w:ascii="仿宋_GB2312" w:eastAsia="仿宋_GB2312"/>
          <w:sz w:val="32"/>
          <w:szCs w:val="32"/>
          <w:u w:val="none" w:color="auto"/>
          <w:lang w:eastAsia="zh-CN"/>
        </w:rPr>
        <w:t>十</w:t>
      </w:r>
      <w:r>
        <w:rPr>
          <w:rFonts w:hint="eastAsia" w:ascii="仿宋_GB2312" w:eastAsia="仿宋_GB2312"/>
          <w:sz w:val="32"/>
          <w:szCs w:val="32"/>
          <w:u w:val="none" w:color="auto"/>
        </w:rPr>
        <w:t>一)213-农林水支出95370万元，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预算数增加8775万元，增长10.13%，其中：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1、21301-农业农村22081万元，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预算数减少191万元，下降0.86%。</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2、21302-林业和草原18379万元，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预算数增加5590万元，增长43.71%。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3、21303-水利20814万元，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预算数增加1582万元，增长8.23%。</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4、21305-巩固脱贫攻坚成果衔接乡村振兴10936万元，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预算数增加2725万元，增长33.19%。</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5、21307-农村综合改革1090万元，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预算数增加19万元，增长1.77%。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6、21308-普惠金融发展支出1673万元，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预算数减少512万元，下降23.43%。</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7、21399-其他农林水支出20397万元，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预算数减少438万元，下降2.1%。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w:t>
      </w:r>
      <w:r>
        <w:rPr>
          <w:rFonts w:hint="eastAsia" w:ascii="仿宋_GB2312" w:eastAsia="仿宋_GB2312"/>
          <w:sz w:val="32"/>
          <w:szCs w:val="32"/>
          <w:u w:val="none" w:color="auto"/>
          <w:lang w:eastAsia="zh-CN"/>
        </w:rPr>
        <w:t>十</w:t>
      </w:r>
      <w:r>
        <w:rPr>
          <w:rFonts w:hint="eastAsia" w:ascii="仿宋_GB2312" w:eastAsia="仿宋_GB2312"/>
          <w:sz w:val="32"/>
          <w:szCs w:val="32"/>
          <w:u w:val="none" w:color="auto"/>
        </w:rPr>
        <w:t>二)214-交通运输支出109166万元，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预算数增加36513万元，增长50.26%，其中：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仿宋_GB2312" w:eastAsia="仿宋_GB2312"/>
          <w:sz w:val="32"/>
          <w:szCs w:val="32"/>
          <w:u w:val="none" w:color="auto"/>
          <w:lang w:val="en-US" w:eastAsia="zh-CN"/>
        </w:rPr>
      </w:pPr>
      <w:r>
        <w:rPr>
          <w:rFonts w:hint="eastAsia" w:ascii="仿宋_GB2312" w:eastAsia="仿宋_GB2312"/>
          <w:sz w:val="32"/>
          <w:szCs w:val="32"/>
          <w:u w:val="none" w:color="auto"/>
        </w:rPr>
        <w:t>1、21401-公路水路运输95160万元，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预算数增加36516万元，增长62.27%。</w:t>
      </w:r>
      <w:r>
        <w:rPr>
          <w:rFonts w:hint="eastAsia" w:ascii="仿宋_GB2312" w:eastAsia="仿宋_GB2312"/>
          <w:sz w:val="32"/>
          <w:szCs w:val="32"/>
          <w:u w:val="none" w:color="auto"/>
          <w:lang w:eastAsia="zh-CN"/>
        </w:rPr>
        <w:t>主要是省提前下达补助</w:t>
      </w:r>
      <w:r>
        <w:rPr>
          <w:rFonts w:hint="eastAsia" w:ascii="仿宋_GB2312" w:eastAsia="仿宋_GB2312"/>
          <w:sz w:val="32"/>
          <w:szCs w:val="32"/>
          <w:u w:val="none" w:color="auto"/>
          <w:lang w:val="en-US" w:eastAsia="zh-CN"/>
        </w:rPr>
        <w:t>增加32764万元。</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2、21402-铁路运输5万元,</w:t>
      </w:r>
      <w:r>
        <w:rPr>
          <w:rFonts w:hint="eastAsia" w:ascii="仿宋_GB2312" w:eastAsia="仿宋_GB2312"/>
          <w:sz w:val="32"/>
          <w:szCs w:val="32"/>
          <w:u w:val="none" w:color="auto"/>
          <w:lang w:eastAsia="zh-CN"/>
        </w:rPr>
        <w:t>与2023年</w:t>
      </w:r>
      <w:r>
        <w:rPr>
          <w:rFonts w:hint="eastAsia" w:ascii="仿宋_GB2312" w:eastAsia="仿宋_GB2312"/>
          <w:sz w:val="32"/>
          <w:szCs w:val="32"/>
          <w:u w:val="none" w:color="auto"/>
        </w:rPr>
        <w:t>预算数持平。</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3、21499-其他交通运输支出14001万元，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预算数减少3万元，下降0.02%。</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w:t>
      </w:r>
      <w:r>
        <w:rPr>
          <w:rFonts w:hint="eastAsia" w:ascii="仿宋_GB2312" w:eastAsia="仿宋_GB2312"/>
          <w:sz w:val="32"/>
          <w:szCs w:val="32"/>
          <w:u w:val="none" w:color="auto"/>
          <w:lang w:eastAsia="zh-CN"/>
        </w:rPr>
        <w:t>十</w:t>
      </w:r>
      <w:r>
        <w:rPr>
          <w:rFonts w:hint="eastAsia" w:ascii="仿宋_GB2312" w:eastAsia="仿宋_GB2312"/>
          <w:sz w:val="32"/>
          <w:szCs w:val="32"/>
          <w:u w:val="none" w:color="auto"/>
        </w:rPr>
        <w:t>三)215-资源勘探工业信息等支出69137万元，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预算数增加25657万元，增长59.01%，其中：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1、21501-资源勘探开发2万元，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预算数增加2万元，增长100%。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2、21502-制造业500万元，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预算数增加66万元，增长15.21%。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3、21505-工业和信息产业监管6711万元，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预算数增加1452万元，增长27.61%。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4、21507-国有资产监管781万元，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预算数增加190万元，增长32.15%。</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lang w:val="en-US" w:eastAsia="zh-CN"/>
        </w:rPr>
      </w:pPr>
      <w:r>
        <w:rPr>
          <w:rFonts w:hint="eastAsia" w:ascii="仿宋_GB2312" w:eastAsia="仿宋_GB2312"/>
          <w:sz w:val="32"/>
          <w:szCs w:val="32"/>
          <w:u w:val="none" w:color="auto"/>
        </w:rPr>
        <w:t>5、21508-支持中小企业发展和管理支出48843万元，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预算数增加11647万元，增长31.31%。</w:t>
      </w:r>
      <w:r>
        <w:rPr>
          <w:rFonts w:hint="eastAsia" w:ascii="仿宋_GB2312" w:eastAsia="仿宋_GB2312"/>
          <w:sz w:val="32"/>
          <w:szCs w:val="32"/>
          <w:u w:val="none" w:color="auto"/>
          <w:lang w:eastAsia="zh-CN"/>
        </w:rPr>
        <w:t>主要是省提前下达补助</w:t>
      </w:r>
      <w:r>
        <w:rPr>
          <w:rFonts w:hint="eastAsia" w:ascii="仿宋_GB2312" w:eastAsia="仿宋_GB2312"/>
          <w:sz w:val="32"/>
          <w:szCs w:val="32"/>
          <w:u w:val="none" w:color="auto"/>
          <w:lang w:val="en-US" w:eastAsia="zh-CN"/>
        </w:rPr>
        <w:t>增加4910万元，用于专精特新企业奖励和新增规模企业奖励。市级工业经济和信息化发展专项及扶持民航发展专项资金增加4000万元。</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lang w:val="en-US" w:eastAsia="zh-CN"/>
        </w:rPr>
      </w:pPr>
      <w:r>
        <w:rPr>
          <w:rFonts w:hint="eastAsia" w:ascii="仿宋_GB2312" w:eastAsia="仿宋_GB2312"/>
          <w:sz w:val="32"/>
          <w:szCs w:val="32"/>
          <w:u w:val="none" w:color="auto"/>
        </w:rPr>
        <w:t>6、21599-其他资源勘探工业信息等支出12300万元，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预算数增加12300</w:t>
      </w:r>
      <w:r>
        <w:rPr>
          <w:rFonts w:hint="eastAsia" w:ascii="仿宋_GB2312" w:eastAsia="仿宋_GB2312"/>
          <w:sz w:val="32"/>
          <w:szCs w:val="32"/>
          <w:u w:val="none" w:color="auto"/>
          <w:lang w:val="en-US" w:eastAsia="zh-CN"/>
        </w:rPr>
        <w:t>万元，增长100%。主要是为促进我市制造业加快转型升级步伐，省级提前下达制造业高质量发展专项资金12300万元。</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w:t>
      </w:r>
      <w:r>
        <w:rPr>
          <w:rFonts w:hint="eastAsia" w:ascii="仿宋_GB2312" w:eastAsia="仿宋_GB2312"/>
          <w:sz w:val="32"/>
          <w:szCs w:val="32"/>
          <w:u w:val="none" w:color="auto"/>
          <w:lang w:eastAsia="zh-CN"/>
        </w:rPr>
        <w:t>十</w:t>
      </w:r>
      <w:r>
        <w:rPr>
          <w:rFonts w:hint="eastAsia" w:ascii="仿宋_GB2312" w:eastAsia="仿宋_GB2312"/>
          <w:sz w:val="32"/>
          <w:szCs w:val="32"/>
          <w:u w:val="none" w:color="auto"/>
        </w:rPr>
        <w:t>四)216-商业服务业等支出71069万元，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预算数增加37667万元，增长112.77%，其中：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1、21602-商业流通事务2036万元，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预算数增加341万元，增长20.12%。</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default" w:ascii="仿宋_GB2312" w:eastAsia="仿宋_GB2312"/>
          <w:sz w:val="32"/>
          <w:szCs w:val="32"/>
          <w:u w:val="none" w:color="auto"/>
          <w:lang w:val="en-US" w:eastAsia="zh-CN"/>
        </w:rPr>
      </w:pPr>
      <w:r>
        <w:rPr>
          <w:rFonts w:hint="eastAsia" w:ascii="仿宋_GB2312" w:eastAsia="仿宋_GB2312"/>
          <w:sz w:val="32"/>
          <w:szCs w:val="32"/>
          <w:u w:val="none" w:color="auto"/>
        </w:rPr>
        <w:t>2、21606-涉外发展服务支出41579万元，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预算数增加33789万元，增长433.75%。</w:t>
      </w:r>
      <w:r>
        <w:rPr>
          <w:rFonts w:hint="eastAsia" w:ascii="仿宋_GB2312" w:eastAsia="仿宋_GB2312"/>
          <w:sz w:val="32"/>
          <w:szCs w:val="32"/>
          <w:u w:val="none" w:color="auto"/>
          <w:lang w:eastAsia="zh-CN"/>
        </w:rPr>
        <w:t>主要是省提前下达补助</w:t>
      </w:r>
      <w:r>
        <w:rPr>
          <w:rFonts w:hint="eastAsia" w:ascii="仿宋_GB2312" w:eastAsia="仿宋_GB2312"/>
          <w:sz w:val="32"/>
          <w:szCs w:val="32"/>
          <w:u w:val="none" w:color="auto"/>
          <w:lang w:val="en-US" w:eastAsia="zh-CN"/>
        </w:rPr>
        <w:t>增加34379万元。</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3、21699-其他商业服务业等支出27454万元，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预算数增加3537万元，增长14.79%。</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w:t>
      </w:r>
      <w:r>
        <w:rPr>
          <w:rFonts w:hint="eastAsia" w:ascii="仿宋_GB2312" w:eastAsia="仿宋_GB2312"/>
          <w:sz w:val="32"/>
          <w:szCs w:val="32"/>
          <w:u w:val="none" w:color="auto"/>
          <w:lang w:eastAsia="zh-CN"/>
        </w:rPr>
        <w:t>十</w:t>
      </w:r>
      <w:r>
        <w:rPr>
          <w:rFonts w:hint="eastAsia" w:ascii="仿宋_GB2312" w:eastAsia="仿宋_GB2312"/>
          <w:sz w:val="32"/>
          <w:szCs w:val="32"/>
          <w:u w:val="none" w:color="auto"/>
        </w:rPr>
        <w:t>五)217-金融支出6491万元，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预算数增加521万元，增长8.73%，其中：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1、21703-金融发展支出1756万元，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预算数增加1756万元，增长100%。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2、21799-其他金融支出4735万元，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预算数减少1235万元，下降20.69%。</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w:t>
      </w:r>
      <w:r>
        <w:rPr>
          <w:rFonts w:hint="eastAsia" w:ascii="仿宋_GB2312" w:eastAsia="仿宋_GB2312"/>
          <w:sz w:val="32"/>
          <w:szCs w:val="32"/>
          <w:u w:val="none" w:color="auto"/>
          <w:lang w:eastAsia="zh-CN"/>
        </w:rPr>
        <w:t>十</w:t>
      </w:r>
      <w:r>
        <w:rPr>
          <w:rFonts w:hint="eastAsia" w:ascii="仿宋_GB2312" w:eastAsia="仿宋_GB2312"/>
          <w:sz w:val="32"/>
          <w:szCs w:val="32"/>
          <w:u w:val="none" w:color="auto"/>
        </w:rPr>
        <w:t>六)219-援助其他地区支出3150万元，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预算数减少690万元，下降17.97%，其中：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1、21999-其他支出3150万元，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预算数减少690万元，下降17.97%。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w:t>
      </w:r>
      <w:r>
        <w:rPr>
          <w:rFonts w:hint="eastAsia" w:ascii="仿宋_GB2312" w:eastAsia="仿宋_GB2312"/>
          <w:sz w:val="32"/>
          <w:szCs w:val="32"/>
          <w:u w:val="none" w:color="auto"/>
          <w:lang w:eastAsia="zh-CN"/>
        </w:rPr>
        <w:t>十</w:t>
      </w:r>
      <w:r>
        <w:rPr>
          <w:rFonts w:hint="eastAsia" w:ascii="仿宋_GB2312" w:eastAsia="仿宋_GB2312"/>
          <w:sz w:val="32"/>
          <w:szCs w:val="32"/>
          <w:u w:val="none" w:color="auto"/>
        </w:rPr>
        <w:t>七)220-自然资源海洋气象等支出7195万元，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预算数减少686万元，下降8.7%，其中：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1、22001-自然资源事务5456万元，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预算数减少628万元，下降10.32%。</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2、22005-气象事务1739万元，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预算数减少8万元，下降0.46%。</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w:t>
      </w:r>
      <w:r>
        <w:rPr>
          <w:rFonts w:hint="eastAsia" w:ascii="仿宋_GB2312" w:eastAsia="仿宋_GB2312"/>
          <w:sz w:val="32"/>
          <w:szCs w:val="32"/>
          <w:u w:val="none" w:color="auto"/>
          <w:lang w:eastAsia="zh-CN"/>
        </w:rPr>
        <w:t>十</w:t>
      </w:r>
      <w:r>
        <w:rPr>
          <w:rFonts w:hint="eastAsia" w:ascii="仿宋_GB2312" w:eastAsia="仿宋_GB2312"/>
          <w:sz w:val="32"/>
          <w:szCs w:val="32"/>
          <w:u w:val="none" w:color="auto"/>
        </w:rPr>
        <w:t>八)221-住房保障支出42215万元，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预算数增加4347万元，增长11.48%，其中：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1、22101-保障性安居工程支出1616万元，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预算数增加1616万元，增长100%。</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2、22102-住房改革支出37053万元，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预算数增加2858万元，增长8.36%。</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3、22103-城乡社区住宅3546万元，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预算数减少127万元，下降3.46%。</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w:t>
      </w:r>
      <w:r>
        <w:rPr>
          <w:rFonts w:hint="eastAsia" w:ascii="仿宋_GB2312" w:eastAsia="仿宋_GB2312"/>
          <w:sz w:val="32"/>
          <w:szCs w:val="32"/>
          <w:u w:val="none" w:color="auto"/>
          <w:lang w:eastAsia="zh-CN"/>
        </w:rPr>
        <w:t>十</w:t>
      </w:r>
      <w:r>
        <w:rPr>
          <w:rFonts w:hint="eastAsia" w:ascii="仿宋_GB2312" w:eastAsia="仿宋_GB2312"/>
          <w:sz w:val="32"/>
          <w:szCs w:val="32"/>
          <w:u w:val="none" w:color="auto"/>
        </w:rPr>
        <w:t>九)222-粮油物资储备支出3881万元，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预算数增加236万元，增长6.47%，其中：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1、22201-粮油物资事务3881万元，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预算数增加236万元，增长6.47%。</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（二十)224-灾害防治及应急管理支出10942万元，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预算数增加295万元，增长2.77%，其中：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1、22401-应急管理事务4768万元，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预算数增加472万元，增长10.99%。</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2、22402-消防救援事务4467万元，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预算数减少389万元，下降8.01%。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3、22405-地震事务455万元，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预算数减少31万元，下降6.38%。</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4、22406-自然灾害防治1052万元，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预算数增加243万元，增长30.04%。</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5、22407-自然灾害救灾及恢复重建支出200万元,</w:t>
      </w:r>
      <w:r>
        <w:rPr>
          <w:rFonts w:hint="eastAsia" w:ascii="仿宋_GB2312" w:eastAsia="仿宋_GB2312"/>
          <w:sz w:val="32"/>
          <w:szCs w:val="32"/>
          <w:u w:val="none" w:color="auto"/>
          <w:lang w:eastAsia="zh-CN"/>
        </w:rPr>
        <w:t>与2023年</w:t>
      </w:r>
      <w:r>
        <w:rPr>
          <w:rFonts w:hint="eastAsia" w:ascii="仿宋_GB2312" w:eastAsia="仿宋_GB2312"/>
          <w:sz w:val="32"/>
          <w:szCs w:val="32"/>
          <w:u w:val="none" w:color="auto"/>
        </w:rPr>
        <w:t>预算数持平。</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（二十一)227-预备费12420万元，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预算数增加100万元，增长0.81%。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（二十二)229-其他支出35910万元，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预算数减少22966万元，下降39.01%，其中：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1、22902-年初预留9702万元，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预算数减少14950万元，下降60.64%。</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2、22999-其他支出26208万元，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预算数减少8016万元，下降23.42%。</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（二十三)232-债务付息支出18316万元，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预算数增加6432万元，增长54.12%，其中：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1、23203-地方政府一般债务付息支出18316万元，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预算数增加6432万元，增长54.12%。</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（二十四)233-债务发行费用支出273万元，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预算数增加158万元，增长137.39%，其中：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1、23303-地方政府一般债务发行费用支出273万元，</w:t>
      </w:r>
      <w:r>
        <w:rPr>
          <w:rFonts w:hint="eastAsia" w:ascii="仿宋_GB2312" w:eastAsia="仿宋_GB2312"/>
          <w:sz w:val="32"/>
          <w:szCs w:val="32"/>
          <w:u w:val="none" w:color="auto"/>
          <w:lang w:eastAsia="zh-CN"/>
        </w:rPr>
        <w:t>较2023年</w:t>
      </w:r>
      <w:r>
        <w:rPr>
          <w:rFonts w:hint="eastAsia" w:ascii="仿宋_GB2312" w:eastAsia="仿宋_GB2312"/>
          <w:sz w:val="32"/>
          <w:szCs w:val="32"/>
          <w:u w:val="none" w:color="auto"/>
        </w:rPr>
        <w:t>预算数增加158万元，增长137.39%。</w:t>
      </w:r>
    </w:p>
    <w:p>
      <w:pPr>
        <w:keepNext w:val="0"/>
        <w:keepLines w:val="0"/>
        <w:pageBreakBefore w:val="0"/>
        <w:widowControl w:val="0"/>
        <w:shd w:val="clear"/>
        <w:kinsoku/>
        <w:wordWrap/>
        <w:overflowPunct/>
        <w:topLinePunct w:val="0"/>
        <w:autoSpaceDE/>
        <w:autoSpaceDN/>
        <w:bidi w:val="0"/>
        <w:adjustRightInd/>
        <w:snapToGrid/>
        <w:spacing w:line="520" w:lineRule="exact"/>
        <w:ind w:firstLine="630" w:firstLineChars="196"/>
        <w:textAlignment w:val="auto"/>
        <w:rPr>
          <w:rFonts w:ascii="仿宋_GB2312" w:hAnsi="黑体" w:eastAsia="仿宋_GB2312" w:cs="Times New Roman"/>
          <w:b/>
          <w:bCs/>
          <w:sz w:val="32"/>
          <w:szCs w:val="32"/>
          <w:highlight w:val="none"/>
          <w:u w:val="none" w:color="auto"/>
        </w:rPr>
      </w:pPr>
      <w:r>
        <w:rPr>
          <w:rFonts w:hint="eastAsia" w:ascii="仿宋_GB2312" w:hAnsi="黑体" w:eastAsia="仿宋_GB2312" w:cs="仿宋_GB2312"/>
          <w:b/>
          <w:bCs/>
          <w:sz w:val="32"/>
          <w:szCs w:val="32"/>
          <w:highlight w:val="none"/>
          <w:u w:val="none" w:color="auto"/>
        </w:rPr>
        <w:t>二、财政转移支付安排情况</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highlight w:val="none"/>
          <w:u w:val="none" w:color="auto"/>
        </w:rPr>
      </w:pPr>
      <w:r>
        <w:rPr>
          <w:rFonts w:hint="eastAsia" w:ascii="仿宋_GB2312" w:eastAsia="仿宋_GB2312"/>
          <w:sz w:val="32"/>
          <w:szCs w:val="32"/>
          <w:highlight w:val="none"/>
          <w:u w:val="none" w:color="auto"/>
          <w:lang w:eastAsia="zh-CN"/>
        </w:rPr>
        <w:t>2024</w:t>
      </w:r>
      <w:r>
        <w:rPr>
          <w:rFonts w:hint="eastAsia" w:ascii="仿宋_GB2312" w:eastAsia="仿宋_GB2312"/>
          <w:sz w:val="32"/>
          <w:szCs w:val="32"/>
          <w:highlight w:val="none"/>
          <w:u w:val="none" w:color="auto"/>
        </w:rPr>
        <w:t>年度泉州市对下税收返还和转移支付预算数为</w:t>
      </w:r>
      <w:r>
        <w:rPr>
          <w:rFonts w:hint="eastAsia" w:ascii="仿宋_GB2312" w:eastAsia="仿宋_GB2312"/>
          <w:sz w:val="32"/>
          <w:szCs w:val="32"/>
          <w:highlight w:val="none"/>
          <w:u w:val="none" w:color="auto"/>
          <w:lang w:val="en-US" w:eastAsia="zh-CN"/>
        </w:rPr>
        <w:t>134573</w:t>
      </w:r>
      <w:r>
        <w:rPr>
          <w:rFonts w:hint="eastAsia" w:ascii="仿宋_GB2312" w:eastAsia="仿宋_GB2312"/>
          <w:sz w:val="32"/>
          <w:szCs w:val="32"/>
          <w:highlight w:val="none"/>
          <w:u w:val="none" w:color="auto"/>
        </w:rPr>
        <w:t>万元，</w:t>
      </w:r>
      <w:r>
        <w:rPr>
          <w:rFonts w:hint="eastAsia" w:ascii="仿宋_GB2312" w:eastAsia="仿宋_GB2312"/>
          <w:sz w:val="32"/>
          <w:szCs w:val="32"/>
          <w:highlight w:val="none"/>
          <w:u w:val="none" w:color="auto"/>
          <w:lang w:eastAsia="zh-CN"/>
        </w:rPr>
        <w:t>较上年</w:t>
      </w:r>
      <w:r>
        <w:rPr>
          <w:rFonts w:hint="eastAsia" w:ascii="仿宋_GB2312" w:eastAsia="仿宋_GB2312"/>
          <w:sz w:val="32"/>
          <w:szCs w:val="32"/>
          <w:highlight w:val="none"/>
          <w:u w:val="none" w:color="auto"/>
        </w:rPr>
        <w:t>增加</w:t>
      </w:r>
      <w:r>
        <w:rPr>
          <w:rFonts w:hint="eastAsia" w:ascii="仿宋_GB2312" w:eastAsia="仿宋_GB2312"/>
          <w:sz w:val="32"/>
          <w:szCs w:val="32"/>
          <w:highlight w:val="none"/>
          <w:u w:val="none" w:color="auto"/>
          <w:lang w:val="en-US" w:eastAsia="zh-CN"/>
        </w:rPr>
        <w:t>7654</w:t>
      </w:r>
      <w:r>
        <w:rPr>
          <w:rFonts w:hint="eastAsia" w:ascii="仿宋_GB2312" w:eastAsia="仿宋_GB2312"/>
          <w:sz w:val="32"/>
          <w:szCs w:val="32"/>
          <w:highlight w:val="none"/>
          <w:u w:val="none" w:color="auto"/>
        </w:rPr>
        <w:t>万元，增长</w:t>
      </w:r>
      <w:r>
        <w:rPr>
          <w:rFonts w:hint="eastAsia" w:ascii="仿宋_GB2312" w:eastAsia="仿宋_GB2312"/>
          <w:sz w:val="32"/>
          <w:szCs w:val="32"/>
          <w:highlight w:val="none"/>
          <w:u w:val="none" w:color="auto"/>
          <w:lang w:val="en-US" w:eastAsia="zh-CN"/>
        </w:rPr>
        <w:t>6</w:t>
      </w:r>
      <w:r>
        <w:rPr>
          <w:rFonts w:hint="eastAsia" w:ascii="仿宋_GB2312" w:eastAsia="仿宋_GB2312"/>
          <w:sz w:val="32"/>
          <w:szCs w:val="32"/>
          <w:highlight w:val="none"/>
          <w:u w:val="none" w:color="auto"/>
        </w:rPr>
        <w:t>%。具体情况如下：</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Style w:val="7"/>
          <w:rFonts w:ascii="仿宋_GB2312" w:hAnsi="楷体" w:eastAsia="仿宋_GB2312" w:cs="Times New Roman"/>
          <w:kern w:val="0"/>
          <w:sz w:val="32"/>
          <w:szCs w:val="32"/>
          <w:highlight w:val="none"/>
          <w:u w:val="none" w:color="auto"/>
        </w:rPr>
      </w:pPr>
      <w:r>
        <w:rPr>
          <w:rFonts w:hint="eastAsia" w:ascii="仿宋_GB2312" w:hAnsi="楷体" w:eastAsia="仿宋_GB2312" w:cs="仿宋_GB2312"/>
          <w:b/>
          <w:bCs/>
          <w:kern w:val="0"/>
          <w:sz w:val="32"/>
          <w:szCs w:val="32"/>
          <w:highlight w:val="none"/>
          <w:u w:val="none" w:color="auto"/>
        </w:rPr>
        <w:t>（一）</w:t>
      </w:r>
      <w:r>
        <w:rPr>
          <w:rStyle w:val="7"/>
          <w:rFonts w:hint="eastAsia" w:ascii="仿宋_GB2312" w:hAnsi="楷体" w:eastAsia="仿宋_GB2312" w:cs="仿宋_GB2312"/>
          <w:kern w:val="0"/>
          <w:sz w:val="32"/>
          <w:szCs w:val="32"/>
          <w:highlight w:val="none"/>
          <w:u w:val="none" w:color="auto"/>
        </w:rPr>
        <w:t>一般性转移支付</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highlight w:val="none"/>
          <w:u w:val="none" w:color="auto"/>
          <w:lang w:eastAsia="zh-CN"/>
        </w:rPr>
      </w:pPr>
      <w:r>
        <w:rPr>
          <w:rFonts w:hint="eastAsia" w:ascii="仿宋_GB2312" w:eastAsia="仿宋_GB2312"/>
          <w:sz w:val="32"/>
          <w:szCs w:val="32"/>
          <w:highlight w:val="none"/>
          <w:u w:val="none" w:color="auto"/>
          <w:lang w:eastAsia="zh-CN"/>
        </w:rPr>
        <w:t>2024年度泉州市对下一般转移支付预算数为</w:t>
      </w:r>
      <w:r>
        <w:rPr>
          <w:rFonts w:hint="eastAsia" w:ascii="仿宋_GB2312" w:eastAsia="仿宋_GB2312"/>
          <w:sz w:val="32"/>
          <w:szCs w:val="32"/>
          <w:highlight w:val="none"/>
          <w:u w:val="none" w:color="auto"/>
          <w:lang w:val="en-US" w:eastAsia="zh-CN"/>
        </w:rPr>
        <w:t>36189</w:t>
      </w:r>
      <w:r>
        <w:rPr>
          <w:rFonts w:hint="eastAsia" w:ascii="仿宋_GB2312" w:eastAsia="仿宋_GB2312"/>
          <w:sz w:val="32"/>
          <w:szCs w:val="32"/>
          <w:highlight w:val="none"/>
          <w:u w:val="none" w:color="auto"/>
          <w:lang w:eastAsia="zh-CN"/>
        </w:rPr>
        <w:t>万元，较上年增加</w:t>
      </w:r>
      <w:r>
        <w:rPr>
          <w:rFonts w:hint="eastAsia" w:ascii="仿宋_GB2312" w:eastAsia="仿宋_GB2312"/>
          <w:sz w:val="32"/>
          <w:szCs w:val="32"/>
          <w:highlight w:val="none"/>
          <w:u w:val="none" w:color="auto"/>
          <w:lang w:val="en-US" w:eastAsia="zh-CN"/>
        </w:rPr>
        <w:t>2857</w:t>
      </w:r>
      <w:r>
        <w:rPr>
          <w:rFonts w:hint="eastAsia" w:ascii="仿宋_GB2312" w:eastAsia="仿宋_GB2312"/>
          <w:sz w:val="32"/>
          <w:szCs w:val="32"/>
          <w:highlight w:val="none"/>
          <w:u w:val="none" w:color="auto"/>
          <w:lang w:eastAsia="zh-CN"/>
        </w:rPr>
        <w:t>万元，增长</w:t>
      </w:r>
      <w:r>
        <w:rPr>
          <w:rFonts w:hint="eastAsia" w:ascii="仿宋_GB2312" w:eastAsia="仿宋_GB2312"/>
          <w:sz w:val="32"/>
          <w:szCs w:val="32"/>
          <w:highlight w:val="none"/>
          <w:u w:val="none" w:color="auto"/>
          <w:lang w:val="en-US" w:eastAsia="zh-CN"/>
        </w:rPr>
        <w:t>8.6</w:t>
      </w:r>
      <w:r>
        <w:rPr>
          <w:rFonts w:hint="eastAsia" w:ascii="仿宋_GB2312" w:eastAsia="仿宋_GB2312"/>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highlight w:val="none"/>
          <w:u w:val="none" w:color="auto"/>
          <w:lang w:eastAsia="zh-CN"/>
        </w:rPr>
      </w:pPr>
      <w:r>
        <w:rPr>
          <w:rFonts w:hint="eastAsia" w:ascii="仿宋_GB2312" w:eastAsia="仿宋_GB2312"/>
          <w:sz w:val="32"/>
          <w:szCs w:val="32"/>
          <w:highlight w:val="none"/>
          <w:u w:val="none" w:color="auto"/>
          <w:lang w:eastAsia="zh-CN"/>
        </w:rPr>
        <w:t>具体情况如下：</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highlight w:val="none"/>
          <w:u w:val="none" w:color="auto"/>
          <w:lang w:eastAsia="zh-CN"/>
        </w:rPr>
      </w:pPr>
      <w:r>
        <w:rPr>
          <w:rFonts w:hint="eastAsia" w:ascii="仿宋_GB2312" w:eastAsia="仿宋_GB2312"/>
          <w:sz w:val="32"/>
          <w:szCs w:val="32"/>
          <w:highlight w:val="none"/>
          <w:u w:val="none" w:color="auto"/>
          <w:lang w:eastAsia="zh-CN"/>
        </w:rPr>
        <w:t>1.一般公共服务共同财政事权转移支付支出</w:t>
      </w:r>
      <w:r>
        <w:rPr>
          <w:rFonts w:hint="eastAsia" w:ascii="仿宋_GB2312" w:eastAsia="仿宋_GB2312"/>
          <w:sz w:val="32"/>
          <w:szCs w:val="32"/>
          <w:highlight w:val="none"/>
          <w:u w:val="none" w:color="auto"/>
          <w:lang w:val="en-US" w:eastAsia="zh-CN"/>
        </w:rPr>
        <w:t>101</w:t>
      </w:r>
      <w:r>
        <w:rPr>
          <w:rFonts w:hint="eastAsia" w:ascii="仿宋_GB2312" w:eastAsia="仿宋_GB2312"/>
          <w:sz w:val="32"/>
          <w:szCs w:val="32"/>
          <w:highlight w:val="none"/>
          <w:u w:val="none" w:color="auto"/>
          <w:lang w:eastAsia="zh-CN"/>
        </w:rPr>
        <w:t>万元，较上年增加</w:t>
      </w:r>
      <w:r>
        <w:rPr>
          <w:rFonts w:hint="eastAsia" w:ascii="仿宋_GB2312" w:eastAsia="仿宋_GB2312"/>
          <w:sz w:val="32"/>
          <w:szCs w:val="32"/>
          <w:highlight w:val="none"/>
          <w:u w:val="none" w:color="auto"/>
          <w:lang w:val="en-US" w:eastAsia="zh-CN"/>
        </w:rPr>
        <w:t>4</w:t>
      </w:r>
      <w:r>
        <w:rPr>
          <w:rFonts w:hint="eastAsia" w:ascii="仿宋_GB2312" w:eastAsia="仿宋_GB2312"/>
          <w:sz w:val="32"/>
          <w:szCs w:val="32"/>
          <w:highlight w:val="none"/>
          <w:u w:val="none" w:color="auto"/>
          <w:lang w:eastAsia="zh-CN"/>
        </w:rPr>
        <w:t>万元，增长</w:t>
      </w:r>
      <w:r>
        <w:rPr>
          <w:rFonts w:hint="eastAsia" w:ascii="仿宋_GB2312" w:eastAsia="仿宋_GB2312"/>
          <w:sz w:val="32"/>
          <w:szCs w:val="32"/>
          <w:highlight w:val="none"/>
          <w:u w:val="none" w:color="auto"/>
          <w:lang w:val="en-US" w:eastAsia="zh-CN"/>
        </w:rPr>
        <w:t>4</w:t>
      </w:r>
      <w:r>
        <w:rPr>
          <w:rFonts w:hint="eastAsia" w:ascii="仿宋_GB2312" w:eastAsia="仿宋_GB2312"/>
          <w:sz w:val="32"/>
          <w:szCs w:val="32"/>
          <w:highlight w:val="none"/>
          <w:u w:val="none" w:color="auto"/>
          <w:lang w:eastAsia="zh-CN"/>
        </w:rPr>
        <w:t>.1%。</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highlight w:val="none"/>
          <w:u w:val="none" w:color="auto"/>
          <w:lang w:eastAsia="zh-CN"/>
        </w:rPr>
      </w:pPr>
      <w:r>
        <w:rPr>
          <w:rFonts w:hint="eastAsia" w:ascii="仿宋_GB2312" w:eastAsia="仿宋_GB2312"/>
          <w:sz w:val="32"/>
          <w:szCs w:val="32"/>
          <w:highlight w:val="none"/>
          <w:u w:val="none" w:color="auto"/>
          <w:lang w:eastAsia="zh-CN"/>
        </w:rPr>
        <w:t>2.公共安全共同财政事权转移支付支出9</w:t>
      </w:r>
      <w:r>
        <w:rPr>
          <w:rFonts w:hint="eastAsia" w:ascii="仿宋_GB2312" w:eastAsia="仿宋_GB2312"/>
          <w:sz w:val="32"/>
          <w:szCs w:val="32"/>
          <w:highlight w:val="none"/>
          <w:u w:val="none" w:color="auto"/>
          <w:lang w:val="en-US" w:eastAsia="zh-CN"/>
        </w:rPr>
        <w:t>4</w:t>
      </w:r>
      <w:r>
        <w:rPr>
          <w:rFonts w:hint="eastAsia" w:ascii="仿宋_GB2312" w:eastAsia="仿宋_GB2312"/>
          <w:sz w:val="32"/>
          <w:szCs w:val="32"/>
          <w:highlight w:val="none"/>
          <w:u w:val="none" w:color="auto"/>
          <w:lang w:eastAsia="zh-CN"/>
        </w:rPr>
        <w:t>万元，与上年持平。</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highlight w:val="none"/>
          <w:u w:val="none" w:color="auto"/>
          <w:lang w:eastAsia="zh-CN"/>
        </w:rPr>
      </w:pPr>
      <w:r>
        <w:rPr>
          <w:rFonts w:hint="eastAsia" w:ascii="仿宋_GB2312" w:eastAsia="仿宋_GB2312"/>
          <w:sz w:val="32"/>
          <w:szCs w:val="32"/>
          <w:highlight w:val="none"/>
          <w:u w:val="none" w:color="auto"/>
          <w:lang w:eastAsia="zh-CN"/>
        </w:rPr>
        <w:t>3.教育共同财政事权转移支付支出</w:t>
      </w:r>
      <w:r>
        <w:rPr>
          <w:rFonts w:hint="eastAsia" w:ascii="仿宋_GB2312" w:eastAsia="仿宋_GB2312"/>
          <w:sz w:val="32"/>
          <w:szCs w:val="32"/>
          <w:highlight w:val="none"/>
          <w:u w:val="none" w:color="auto"/>
          <w:lang w:val="en-US" w:eastAsia="zh-CN"/>
        </w:rPr>
        <w:t>9203</w:t>
      </w:r>
      <w:r>
        <w:rPr>
          <w:rFonts w:hint="eastAsia" w:ascii="仿宋_GB2312" w:eastAsia="仿宋_GB2312"/>
          <w:sz w:val="32"/>
          <w:szCs w:val="32"/>
          <w:highlight w:val="none"/>
          <w:u w:val="none" w:color="auto"/>
          <w:lang w:eastAsia="zh-CN"/>
        </w:rPr>
        <w:t>万元，较上年增加</w:t>
      </w:r>
      <w:r>
        <w:rPr>
          <w:rFonts w:hint="eastAsia" w:ascii="仿宋_GB2312" w:eastAsia="仿宋_GB2312"/>
          <w:sz w:val="32"/>
          <w:szCs w:val="32"/>
          <w:highlight w:val="none"/>
          <w:u w:val="none" w:color="auto"/>
          <w:lang w:val="en-US" w:eastAsia="zh-CN"/>
        </w:rPr>
        <w:t>194</w:t>
      </w:r>
      <w:r>
        <w:rPr>
          <w:rFonts w:hint="eastAsia" w:ascii="仿宋_GB2312" w:eastAsia="仿宋_GB2312"/>
          <w:sz w:val="32"/>
          <w:szCs w:val="32"/>
          <w:highlight w:val="none"/>
          <w:u w:val="none" w:color="auto"/>
          <w:lang w:eastAsia="zh-CN"/>
        </w:rPr>
        <w:t>万元，增长</w:t>
      </w:r>
      <w:r>
        <w:rPr>
          <w:rFonts w:hint="eastAsia" w:ascii="仿宋_GB2312" w:eastAsia="仿宋_GB2312"/>
          <w:sz w:val="32"/>
          <w:szCs w:val="32"/>
          <w:highlight w:val="none"/>
          <w:u w:val="none" w:color="auto"/>
          <w:lang w:val="en-US" w:eastAsia="zh-CN"/>
        </w:rPr>
        <w:t>2.2</w:t>
      </w:r>
      <w:r>
        <w:rPr>
          <w:rFonts w:hint="eastAsia" w:ascii="仿宋_GB2312" w:eastAsia="仿宋_GB2312"/>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highlight w:val="none"/>
          <w:u w:val="none" w:color="auto"/>
          <w:lang w:eastAsia="zh-CN"/>
        </w:rPr>
      </w:pPr>
      <w:r>
        <w:rPr>
          <w:rFonts w:hint="eastAsia" w:ascii="仿宋_GB2312" w:eastAsia="仿宋_GB2312"/>
          <w:sz w:val="32"/>
          <w:szCs w:val="32"/>
          <w:highlight w:val="none"/>
          <w:u w:val="none" w:color="auto"/>
          <w:lang w:eastAsia="zh-CN"/>
        </w:rPr>
        <w:t>4.文化旅游体育与传媒共同财政事权转移支付支出30万元，与上年持平。</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highlight w:val="none"/>
          <w:u w:val="none" w:color="auto"/>
          <w:lang w:eastAsia="zh-CN"/>
        </w:rPr>
      </w:pPr>
      <w:r>
        <w:rPr>
          <w:rFonts w:hint="eastAsia" w:ascii="仿宋_GB2312" w:eastAsia="仿宋_GB2312"/>
          <w:sz w:val="32"/>
          <w:szCs w:val="32"/>
          <w:highlight w:val="none"/>
          <w:u w:val="none" w:color="auto"/>
          <w:lang w:eastAsia="zh-CN"/>
        </w:rPr>
        <w:t>5.社会保障和就业共同财政事权转移支付支出</w:t>
      </w:r>
      <w:r>
        <w:rPr>
          <w:rFonts w:hint="eastAsia" w:ascii="仿宋_GB2312" w:eastAsia="仿宋_GB2312"/>
          <w:sz w:val="32"/>
          <w:szCs w:val="32"/>
          <w:highlight w:val="none"/>
          <w:u w:val="none" w:color="auto"/>
          <w:lang w:val="en-US" w:eastAsia="zh-CN"/>
        </w:rPr>
        <w:t>21106</w:t>
      </w:r>
      <w:r>
        <w:rPr>
          <w:rFonts w:hint="eastAsia" w:ascii="仿宋_GB2312" w:eastAsia="仿宋_GB2312"/>
          <w:sz w:val="32"/>
          <w:szCs w:val="32"/>
          <w:highlight w:val="none"/>
          <w:u w:val="none" w:color="auto"/>
          <w:lang w:eastAsia="zh-CN"/>
        </w:rPr>
        <w:t>万元，较上年增加</w:t>
      </w:r>
      <w:r>
        <w:rPr>
          <w:rFonts w:hint="eastAsia" w:ascii="仿宋_GB2312" w:eastAsia="仿宋_GB2312"/>
          <w:sz w:val="32"/>
          <w:szCs w:val="32"/>
          <w:highlight w:val="none"/>
          <w:u w:val="none" w:color="auto"/>
          <w:lang w:val="en-US" w:eastAsia="zh-CN"/>
        </w:rPr>
        <w:t>2659</w:t>
      </w:r>
      <w:r>
        <w:rPr>
          <w:rFonts w:hint="eastAsia" w:ascii="仿宋_GB2312" w:eastAsia="仿宋_GB2312"/>
          <w:sz w:val="32"/>
          <w:szCs w:val="32"/>
          <w:highlight w:val="none"/>
          <w:u w:val="none" w:color="auto"/>
          <w:lang w:eastAsia="zh-CN"/>
        </w:rPr>
        <w:t>万元，增长</w:t>
      </w:r>
      <w:r>
        <w:rPr>
          <w:rFonts w:hint="eastAsia" w:ascii="仿宋_GB2312" w:eastAsia="仿宋_GB2312"/>
          <w:sz w:val="32"/>
          <w:szCs w:val="32"/>
          <w:highlight w:val="none"/>
          <w:u w:val="none" w:color="auto"/>
          <w:lang w:val="en-US" w:eastAsia="zh-CN"/>
        </w:rPr>
        <w:t>14.4</w:t>
      </w:r>
      <w:r>
        <w:rPr>
          <w:rFonts w:hint="eastAsia" w:ascii="仿宋_GB2312" w:eastAsia="仿宋_GB2312"/>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highlight w:val="none"/>
          <w:u w:val="none" w:color="auto"/>
          <w:lang w:eastAsia="zh-CN"/>
        </w:rPr>
      </w:pPr>
      <w:r>
        <w:rPr>
          <w:rFonts w:hint="eastAsia" w:ascii="仿宋_GB2312" w:eastAsia="仿宋_GB2312"/>
          <w:sz w:val="32"/>
          <w:szCs w:val="32"/>
          <w:highlight w:val="none"/>
          <w:u w:val="none" w:color="auto"/>
          <w:lang w:eastAsia="zh-CN"/>
        </w:rPr>
        <w:t>6.农林水共同财政事权转移支付支出94</w:t>
      </w:r>
      <w:r>
        <w:rPr>
          <w:rFonts w:hint="eastAsia" w:ascii="仿宋_GB2312" w:eastAsia="仿宋_GB2312"/>
          <w:sz w:val="32"/>
          <w:szCs w:val="32"/>
          <w:highlight w:val="none"/>
          <w:u w:val="none" w:color="auto"/>
          <w:lang w:val="en-US" w:eastAsia="zh-CN"/>
        </w:rPr>
        <w:t>4</w:t>
      </w:r>
      <w:r>
        <w:rPr>
          <w:rFonts w:hint="eastAsia" w:ascii="仿宋_GB2312" w:eastAsia="仿宋_GB2312"/>
          <w:sz w:val="32"/>
          <w:szCs w:val="32"/>
          <w:highlight w:val="none"/>
          <w:u w:val="none" w:color="auto"/>
          <w:lang w:eastAsia="zh-CN"/>
        </w:rPr>
        <w:t>万元，较上年增加</w:t>
      </w:r>
      <w:r>
        <w:rPr>
          <w:rFonts w:hint="eastAsia" w:ascii="仿宋_GB2312" w:eastAsia="仿宋_GB2312"/>
          <w:sz w:val="32"/>
          <w:szCs w:val="32"/>
          <w:highlight w:val="none"/>
          <w:u w:val="none" w:color="auto"/>
          <w:lang w:val="en-US" w:eastAsia="zh-CN"/>
        </w:rPr>
        <w:t>2万元，增长0.2%</w:t>
      </w:r>
      <w:r>
        <w:rPr>
          <w:rFonts w:hint="eastAsia" w:ascii="仿宋_GB2312" w:eastAsia="仿宋_GB2312"/>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highlight w:val="none"/>
          <w:u w:val="none" w:color="auto"/>
          <w:lang w:eastAsia="zh-CN"/>
        </w:rPr>
      </w:pPr>
      <w:r>
        <w:rPr>
          <w:rFonts w:hint="eastAsia" w:ascii="仿宋_GB2312" w:eastAsia="仿宋_GB2312"/>
          <w:sz w:val="32"/>
          <w:szCs w:val="32"/>
          <w:highlight w:val="none"/>
          <w:u w:val="none" w:color="auto"/>
          <w:lang w:eastAsia="zh-CN"/>
        </w:rPr>
        <w:t>7.交通运输共同财政事权转移支付支出198万元，与上年持平。</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sz w:val="32"/>
          <w:szCs w:val="32"/>
          <w:highlight w:val="none"/>
          <w:u w:val="none" w:color="auto"/>
          <w:lang w:eastAsia="zh-CN"/>
        </w:rPr>
      </w:pPr>
      <w:r>
        <w:rPr>
          <w:rFonts w:hint="eastAsia" w:ascii="仿宋_GB2312" w:eastAsia="仿宋_GB2312"/>
          <w:sz w:val="32"/>
          <w:szCs w:val="32"/>
          <w:highlight w:val="none"/>
          <w:u w:val="none" w:color="auto"/>
          <w:lang w:eastAsia="zh-CN"/>
        </w:rPr>
        <w:t>8.其他一般性转移支付支出451</w:t>
      </w:r>
      <w:r>
        <w:rPr>
          <w:rFonts w:hint="eastAsia" w:ascii="仿宋_GB2312" w:eastAsia="仿宋_GB2312"/>
          <w:sz w:val="32"/>
          <w:szCs w:val="32"/>
          <w:highlight w:val="none"/>
          <w:u w:val="none" w:color="auto"/>
          <w:lang w:val="en-US" w:eastAsia="zh-CN"/>
        </w:rPr>
        <w:t>3</w:t>
      </w:r>
      <w:r>
        <w:rPr>
          <w:rFonts w:hint="eastAsia" w:ascii="仿宋_GB2312" w:eastAsia="仿宋_GB2312"/>
          <w:sz w:val="32"/>
          <w:szCs w:val="32"/>
          <w:highlight w:val="none"/>
          <w:u w:val="none" w:color="auto"/>
          <w:lang w:eastAsia="zh-CN"/>
        </w:rPr>
        <w:t>万元，较上年减少</w:t>
      </w:r>
      <w:r>
        <w:rPr>
          <w:rFonts w:hint="eastAsia" w:ascii="仿宋_GB2312" w:eastAsia="仿宋_GB2312"/>
          <w:sz w:val="32"/>
          <w:szCs w:val="32"/>
          <w:highlight w:val="none"/>
          <w:u w:val="none" w:color="auto"/>
          <w:lang w:val="en-US" w:eastAsia="zh-CN"/>
        </w:rPr>
        <w:t>2万元，下降0.04%</w:t>
      </w:r>
      <w:r>
        <w:rPr>
          <w:rFonts w:hint="eastAsia" w:ascii="仿宋_GB2312" w:eastAsia="仿宋_GB2312"/>
          <w:sz w:val="32"/>
          <w:szCs w:val="32"/>
          <w:highlight w:val="none"/>
          <w:u w:val="none" w:color="auto"/>
          <w:lang w:eastAsia="zh-CN"/>
        </w:rPr>
        <w:t>。</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Style w:val="7"/>
          <w:rFonts w:ascii="仿宋_GB2312" w:hAnsi="楷体" w:eastAsia="仿宋_GB2312" w:cs="Times New Roman"/>
          <w:b w:val="0"/>
          <w:bCs w:val="0"/>
          <w:kern w:val="0"/>
          <w:sz w:val="32"/>
          <w:szCs w:val="32"/>
          <w:highlight w:val="none"/>
          <w:u w:val="none" w:color="auto"/>
        </w:rPr>
      </w:pPr>
      <w:r>
        <w:rPr>
          <w:rFonts w:hint="eastAsia" w:ascii="仿宋_GB2312" w:hAnsi="楷体" w:eastAsia="仿宋_GB2312" w:cs="仿宋_GB2312"/>
          <w:b/>
          <w:bCs/>
          <w:kern w:val="0"/>
          <w:sz w:val="32"/>
          <w:szCs w:val="32"/>
          <w:highlight w:val="none"/>
          <w:u w:val="none" w:color="auto"/>
        </w:rPr>
        <w:t>（二）</w:t>
      </w:r>
      <w:r>
        <w:rPr>
          <w:rStyle w:val="7"/>
          <w:rFonts w:hint="eastAsia" w:ascii="仿宋_GB2312" w:hAnsi="楷体" w:eastAsia="仿宋_GB2312" w:cs="仿宋_GB2312"/>
          <w:kern w:val="0"/>
          <w:sz w:val="32"/>
          <w:szCs w:val="32"/>
          <w:highlight w:val="none"/>
          <w:u w:val="none" w:color="auto"/>
        </w:rPr>
        <w:t>专项转移支付</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Times New Roman"/>
          <w:kern w:val="0"/>
          <w:sz w:val="32"/>
          <w:szCs w:val="32"/>
          <w:highlight w:val="none"/>
          <w:u w:val="none" w:color="auto"/>
        </w:rPr>
      </w:pPr>
      <w:r>
        <w:rPr>
          <w:rFonts w:hint="eastAsia" w:ascii="仿宋_GB2312" w:hAnsi="仿宋" w:eastAsia="仿宋_GB2312" w:cs="仿宋_GB2312"/>
          <w:kern w:val="0"/>
          <w:sz w:val="32"/>
          <w:szCs w:val="32"/>
          <w:highlight w:val="none"/>
          <w:u w:val="none" w:color="auto"/>
          <w:lang w:eastAsia="zh-CN"/>
        </w:rPr>
        <w:t>2024</w:t>
      </w:r>
      <w:r>
        <w:rPr>
          <w:rFonts w:hint="eastAsia" w:ascii="仿宋_GB2312" w:hAnsi="仿宋" w:eastAsia="仿宋_GB2312" w:cs="仿宋_GB2312"/>
          <w:kern w:val="0"/>
          <w:sz w:val="32"/>
          <w:szCs w:val="32"/>
          <w:highlight w:val="none"/>
          <w:u w:val="none" w:color="auto"/>
        </w:rPr>
        <w:t>年度泉州市对下专项转移支付预算数为</w:t>
      </w:r>
      <w:r>
        <w:rPr>
          <w:rFonts w:hint="eastAsia" w:ascii="仿宋_GB2312" w:hAnsi="仿宋" w:eastAsia="仿宋_GB2312" w:cs="仿宋_GB2312"/>
          <w:kern w:val="0"/>
          <w:sz w:val="32"/>
          <w:szCs w:val="32"/>
          <w:highlight w:val="none"/>
          <w:u w:val="none" w:color="auto"/>
          <w:lang w:val="en-US" w:eastAsia="zh-CN"/>
        </w:rPr>
        <w:t>98384</w:t>
      </w:r>
      <w:r>
        <w:rPr>
          <w:rFonts w:hint="eastAsia" w:ascii="仿宋_GB2312" w:hAnsi="仿宋" w:eastAsia="仿宋_GB2312" w:cs="仿宋_GB2312"/>
          <w:kern w:val="0"/>
          <w:sz w:val="32"/>
          <w:szCs w:val="32"/>
          <w:highlight w:val="none"/>
          <w:u w:val="none" w:color="auto"/>
        </w:rPr>
        <w:t>万元，</w:t>
      </w:r>
      <w:r>
        <w:rPr>
          <w:rFonts w:hint="eastAsia" w:ascii="仿宋_GB2312" w:hAnsi="仿宋" w:eastAsia="仿宋_GB2312" w:cs="仿宋_GB2312"/>
          <w:kern w:val="0"/>
          <w:sz w:val="32"/>
          <w:szCs w:val="32"/>
          <w:highlight w:val="none"/>
          <w:u w:val="none" w:color="auto"/>
          <w:lang w:eastAsia="zh-CN"/>
        </w:rPr>
        <w:t>较上年度</w:t>
      </w:r>
      <w:r>
        <w:rPr>
          <w:rFonts w:hint="eastAsia" w:ascii="仿宋_GB2312" w:hAnsi="仿宋" w:eastAsia="仿宋_GB2312" w:cs="仿宋_GB2312"/>
          <w:kern w:val="0"/>
          <w:sz w:val="32"/>
          <w:szCs w:val="32"/>
          <w:highlight w:val="none"/>
          <w:u w:val="none" w:color="auto"/>
        </w:rPr>
        <w:t>增加</w:t>
      </w:r>
      <w:r>
        <w:rPr>
          <w:rFonts w:hint="eastAsia" w:ascii="仿宋_GB2312" w:hAnsi="仿宋" w:eastAsia="仿宋_GB2312" w:cs="仿宋_GB2312"/>
          <w:kern w:val="0"/>
          <w:sz w:val="32"/>
          <w:szCs w:val="32"/>
          <w:highlight w:val="none"/>
          <w:u w:val="none" w:color="auto"/>
          <w:lang w:val="en-US" w:eastAsia="zh-CN"/>
        </w:rPr>
        <w:t>4797</w:t>
      </w:r>
      <w:r>
        <w:rPr>
          <w:rFonts w:hint="eastAsia" w:ascii="仿宋_GB2312" w:hAnsi="仿宋" w:eastAsia="仿宋_GB2312" w:cs="仿宋_GB2312"/>
          <w:kern w:val="0"/>
          <w:sz w:val="32"/>
          <w:szCs w:val="32"/>
          <w:highlight w:val="none"/>
          <w:u w:val="none" w:color="auto"/>
        </w:rPr>
        <w:t>万元，增长</w:t>
      </w:r>
      <w:r>
        <w:rPr>
          <w:rFonts w:hint="eastAsia" w:ascii="仿宋_GB2312" w:hAnsi="仿宋" w:eastAsia="仿宋_GB2312" w:cs="仿宋_GB2312"/>
          <w:kern w:val="0"/>
          <w:sz w:val="32"/>
          <w:szCs w:val="32"/>
          <w:highlight w:val="none"/>
          <w:u w:val="none" w:color="auto"/>
          <w:lang w:val="en-US" w:eastAsia="zh-CN"/>
        </w:rPr>
        <w:t>5.1</w:t>
      </w:r>
      <w:r>
        <w:rPr>
          <w:rFonts w:hint="eastAsia" w:ascii="仿宋_GB2312" w:hAnsi="仿宋" w:eastAsia="仿宋_GB2312" w:cs="仿宋_GB2312"/>
          <w:kern w:val="0"/>
          <w:sz w:val="32"/>
          <w:szCs w:val="32"/>
          <w:highlight w:val="none"/>
          <w:u w:val="none" w:color="auto"/>
        </w:rPr>
        <w:t>%。具体情况如下：</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_GB2312"/>
          <w:kern w:val="0"/>
          <w:sz w:val="32"/>
          <w:szCs w:val="32"/>
          <w:highlight w:val="none"/>
          <w:u w:val="none" w:color="auto"/>
          <w:lang w:val="en-US" w:eastAsia="zh-CN"/>
        </w:rPr>
      </w:pPr>
      <w:r>
        <w:rPr>
          <w:rFonts w:hint="eastAsia" w:ascii="仿宋_GB2312" w:hAnsi="仿宋" w:eastAsia="仿宋_GB2312" w:cs="仿宋_GB2312"/>
          <w:kern w:val="0"/>
          <w:sz w:val="32"/>
          <w:szCs w:val="32"/>
          <w:highlight w:val="none"/>
          <w:u w:val="none" w:color="auto"/>
        </w:rPr>
        <w:t>1.社会保障和就业支出</w:t>
      </w:r>
      <w:r>
        <w:rPr>
          <w:rFonts w:hint="eastAsia" w:ascii="仿宋_GB2312" w:hAnsi="仿宋" w:eastAsia="仿宋_GB2312" w:cs="仿宋_GB2312"/>
          <w:kern w:val="0"/>
          <w:sz w:val="32"/>
          <w:szCs w:val="32"/>
          <w:highlight w:val="none"/>
          <w:u w:val="none" w:color="auto"/>
          <w:lang w:val="en-US" w:eastAsia="zh-CN"/>
        </w:rPr>
        <w:t>392</w:t>
      </w:r>
      <w:r>
        <w:rPr>
          <w:rFonts w:hint="eastAsia" w:ascii="仿宋_GB2312" w:hAnsi="仿宋" w:eastAsia="仿宋_GB2312" w:cs="仿宋_GB2312"/>
          <w:kern w:val="0"/>
          <w:sz w:val="32"/>
          <w:szCs w:val="32"/>
          <w:highlight w:val="none"/>
          <w:u w:val="none" w:color="auto"/>
        </w:rPr>
        <w:t>万元，</w:t>
      </w:r>
      <w:r>
        <w:rPr>
          <w:rFonts w:hint="eastAsia" w:ascii="仿宋_GB2312" w:hAnsi="仿宋" w:eastAsia="仿宋_GB2312" w:cs="仿宋_GB2312"/>
          <w:kern w:val="0"/>
          <w:sz w:val="32"/>
          <w:szCs w:val="32"/>
          <w:highlight w:val="none"/>
          <w:u w:val="none" w:color="auto"/>
          <w:lang w:eastAsia="zh-CN"/>
        </w:rPr>
        <w:t>较上年增加</w:t>
      </w:r>
      <w:r>
        <w:rPr>
          <w:rFonts w:hint="eastAsia" w:ascii="仿宋_GB2312" w:hAnsi="仿宋" w:eastAsia="仿宋_GB2312" w:cs="仿宋_GB2312"/>
          <w:kern w:val="0"/>
          <w:sz w:val="32"/>
          <w:szCs w:val="32"/>
          <w:highlight w:val="none"/>
          <w:u w:val="none" w:color="auto"/>
          <w:lang w:val="en-US" w:eastAsia="zh-CN"/>
        </w:rPr>
        <w:t>205万元，增长109.6%。</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仿宋_GB2312"/>
          <w:kern w:val="0"/>
          <w:sz w:val="32"/>
          <w:szCs w:val="32"/>
          <w:highlight w:val="none"/>
          <w:u w:val="none" w:color="auto"/>
        </w:rPr>
      </w:pPr>
      <w:r>
        <w:rPr>
          <w:rFonts w:hint="eastAsia" w:ascii="仿宋_GB2312" w:hAnsi="仿宋" w:eastAsia="仿宋_GB2312" w:cs="仿宋_GB2312"/>
          <w:kern w:val="0"/>
          <w:sz w:val="32"/>
          <w:szCs w:val="32"/>
          <w:highlight w:val="none"/>
          <w:u w:val="none" w:color="auto"/>
        </w:rPr>
        <w:t>2.卫生健康支出</w:t>
      </w:r>
      <w:r>
        <w:rPr>
          <w:rFonts w:hint="eastAsia" w:ascii="仿宋_GB2312" w:hAnsi="仿宋" w:eastAsia="仿宋_GB2312" w:cs="仿宋_GB2312"/>
          <w:kern w:val="0"/>
          <w:sz w:val="32"/>
          <w:szCs w:val="32"/>
          <w:highlight w:val="none"/>
          <w:u w:val="none" w:color="auto"/>
          <w:lang w:val="en-US" w:eastAsia="zh-CN"/>
        </w:rPr>
        <w:t>2263</w:t>
      </w:r>
      <w:r>
        <w:rPr>
          <w:rFonts w:hint="eastAsia" w:ascii="仿宋_GB2312" w:hAnsi="仿宋" w:eastAsia="仿宋_GB2312" w:cs="仿宋_GB2312"/>
          <w:kern w:val="0"/>
          <w:sz w:val="32"/>
          <w:szCs w:val="32"/>
          <w:highlight w:val="none"/>
          <w:u w:val="none" w:color="auto"/>
        </w:rPr>
        <w:t>万元，</w:t>
      </w:r>
      <w:r>
        <w:rPr>
          <w:rFonts w:hint="eastAsia" w:ascii="仿宋_GB2312" w:hAnsi="仿宋" w:eastAsia="仿宋_GB2312" w:cs="仿宋_GB2312"/>
          <w:kern w:val="0"/>
          <w:sz w:val="32"/>
          <w:szCs w:val="32"/>
          <w:highlight w:val="none"/>
          <w:u w:val="none" w:color="auto"/>
          <w:lang w:eastAsia="zh-CN"/>
        </w:rPr>
        <w:t>与上年持平</w:t>
      </w:r>
      <w:r>
        <w:rPr>
          <w:rFonts w:hint="eastAsia" w:ascii="仿宋_GB2312" w:hAnsi="仿宋" w:eastAsia="仿宋_GB2312" w:cs="仿宋_GB2312"/>
          <w:kern w:val="0"/>
          <w:sz w:val="32"/>
          <w:szCs w:val="32"/>
          <w:highlight w:val="none"/>
          <w:u w:val="none" w:color="auto"/>
        </w:rPr>
        <w:t>。</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仿宋_GB2312"/>
          <w:kern w:val="0"/>
          <w:sz w:val="32"/>
          <w:szCs w:val="32"/>
          <w:highlight w:val="none"/>
          <w:u w:val="none" w:color="auto"/>
        </w:rPr>
      </w:pPr>
      <w:r>
        <w:rPr>
          <w:rFonts w:hint="eastAsia" w:ascii="仿宋_GB2312" w:hAnsi="仿宋" w:eastAsia="仿宋_GB2312" w:cs="仿宋_GB2312"/>
          <w:kern w:val="0"/>
          <w:sz w:val="32"/>
          <w:szCs w:val="32"/>
          <w:highlight w:val="none"/>
          <w:u w:val="none" w:color="auto"/>
        </w:rPr>
        <w:t>3.节能环保支出6650万元，</w:t>
      </w:r>
      <w:r>
        <w:rPr>
          <w:rFonts w:hint="eastAsia" w:ascii="仿宋_GB2312" w:hAnsi="仿宋" w:eastAsia="仿宋_GB2312" w:cs="仿宋_GB2312"/>
          <w:kern w:val="0"/>
          <w:sz w:val="32"/>
          <w:szCs w:val="32"/>
          <w:highlight w:val="none"/>
          <w:u w:val="none" w:color="auto"/>
          <w:lang w:eastAsia="zh-CN"/>
        </w:rPr>
        <w:t>较上年减少</w:t>
      </w:r>
      <w:r>
        <w:rPr>
          <w:rFonts w:hint="eastAsia" w:ascii="仿宋_GB2312" w:hAnsi="仿宋" w:eastAsia="仿宋_GB2312" w:cs="仿宋_GB2312"/>
          <w:kern w:val="0"/>
          <w:sz w:val="32"/>
          <w:szCs w:val="32"/>
          <w:highlight w:val="none"/>
          <w:u w:val="none" w:color="auto"/>
          <w:lang w:val="en-US" w:eastAsia="zh-CN"/>
        </w:rPr>
        <w:t>679</w:t>
      </w:r>
      <w:r>
        <w:rPr>
          <w:rFonts w:hint="eastAsia" w:ascii="仿宋_GB2312" w:hAnsi="仿宋" w:eastAsia="仿宋_GB2312" w:cs="仿宋_GB2312"/>
          <w:kern w:val="0"/>
          <w:sz w:val="32"/>
          <w:szCs w:val="32"/>
          <w:highlight w:val="none"/>
          <w:u w:val="none" w:color="auto"/>
        </w:rPr>
        <w:t>万元，</w:t>
      </w:r>
      <w:r>
        <w:rPr>
          <w:rFonts w:hint="eastAsia" w:ascii="仿宋_GB2312" w:hAnsi="仿宋" w:eastAsia="仿宋_GB2312" w:cs="仿宋_GB2312"/>
          <w:kern w:val="0"/>
          <w:sz w:val="32"/>
          <w:szCs w:val="32"/>
          <w:highlight w:val="none"/>
          <w:u w:val="none" w:color="auto"/>
          <w:lang w:eastAsia="zh-CN"/>
        </w:rPr>
        <w:t>下降</w:t>
      </w:r>
      <w:r>
        <w:rPr>
          <w:rFonts w:hint="eastAsia" w:ascii="仿宋_GB2312" w:hAnsi="仿宋" w:eastAsia="仿宋_GB2312" w:cs="仿宋_GB2312"/>
          <w:kern w:val="0"/>
          <w:sz w:val="32"/>
          <w:szCs w:val="32"/>
          <w:highlight w:val="none"/>
          <w:u w:val="none" w:color="auto"/>
          <w:lang w:val="en-US" w:eastAsia="zh-CN"/>
        </w:rPr>
        <w:t>10.2</w:t>
      </w:r>
      <w:r>
        <w:rPr>
          <w:rFonts w:hint="eastAsia" w:ascii="仿宋_GB2312" w:hAnsi="仿宋" w:eastAsia="仿宋_GB2312" w:cs="仿宋_GB2312"/>
          <w:kern w:val="0"/>
          <w:sz w:val="32"/>
          <w:szCs w:val="32"/>
          <w:highlight w:val="none"/>
          <w:u w:val="none" w:color="auto"/>
        </w:rPr>
        <w:t>%。</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_GB2312"/>
          <w:kern w:val="0"/>
          <w:sz w:val="32"/>
          <w:szCs w:val="32"/>
          <w:highlight w:val="none"/>
          <w:u w:val="none" w:color="auto"/>
          <w:lang w:val="en-US" w:eastAsia="zh-CN"/>
        </w:rPr>
      </w:pPr>
      <w:r>
        <w:rPr>
          <w:rFonts w:hint="eastAsia" w:ascii="仿宋_GB2312" w:hAnsi="仿宋" w:eastAsia="仿宋_GB2312" w:cs="仿宋_GB2312"/>
          <w:kern w:val="0"/>
          <w:sz w:val="32"/>
          <w:szCs w:val="32"/>
          <w:highlight w:val="none"/>
          <w:u w:val="none" w:color="auto"/>
        </w:rPr>
        <w:t>4.城乡社区支出</w:t>
      </w:r>
      <w:r>
        <w:rPr>
          <w:rFonts w:hint="eastAsia" w:ascii="仿宋_GB2312" w:hAnsi="仿宋" w:eastAsia="仿宋_GB2312" w:cs="仿宋_GB2312"/>
          <w:kern w:val="0"/>
          <w:sz w:val="32"/>
          <w:szCs w:val="32"/>
          <w:highlight w:val="none"/>
          <w:u w:val="none" w:color="auto"/>
          <w:lang w:val="en-US" w:eastAsia="zh-CN"/>
        </w:rPr>
        <w:t>650</w:t>
      </w:r>
      <w:r>
        <w:rPr>
          <w:rFonts w:hint="eastAsia" w:ascii="仿宋_GB2312" w:hAnsi="仿宋" w:eastAsia="仿宋_GB2312" w:cs="仿宋_GB2312"/>
          <w:kern w:val="0"/>
          <w:sz w:val="32"/>
          <w:szCs w:val="32"/>
          <w:highlight w:val="none"/>
          <w:u w:val="none" w:color="auto"/>
        </w:rPr>
        <w:t>万元，</w:t>
      </w:r>
      <w:r>
        <w:rPr>
          <w:rFonts w:hint="eastAsia" w:ascii="仿宋_GB2312" w:hAnsi="仿宋" w:eastAsia="仿宋_GB2312" w:cs="仿宋_GB2312"/>
          <w:kern w:val="0"/>
          <w:sz w:val="32"/>
          <w:szCs w:val="32"/>
          <w:highlight w:val="none"/>
          <w:u w:val="none" w:color="auto"/>
          <w:lang w:eastAsia="zh-CN"/>
        </w:rPr>
        <w:t>较上年增加</w:t>
      </w:r>
      <w:r>
        <w:rPr>
          <w:rFonts w:hint="eastAsia" w:ascii="仿宋_GB2312" w:hAnsi="仿宋" w:eastAsia="仿宋_GB2312" w:cs="仿宋_GB2312"/>
          <w:kern w:val="0"/>
          <w:sz w:val="32"/>
          <w:szCs w:val="32"/>
          <w:highlight w:val="none"/>
          <w:u w:val="none" w:color="auto"/>
          <w:lang w:val="en-US" w:eastAsia="zh-CN"/>
        </w:rPr>
        <w:t>150万元，增长30%。</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仿宋_GB2312"/>
          <w:kern w:val="0"/>
          <w:sz w:val="32"/>
          <w:szCs w:val="32"/>
          <w:highlight w:val="none"/>
          <w:u w:val="none" w:color="auto"/>
        </w:rPr>
      </w:pPr>
      <w:r>
        <w:rPr>
          <w:rFonts w:hint="eastAsia" w:ascii="仿宋_GB2312" w:hAnsi="仿宋" w:eastAsia="仿宋_GB2312" w:cs="仿宋_GB2312"/>
          <w:kern w:val="0"/>
          <w:sz w:val="32"/>
          <w:szCs w:val="32"/>
          <w:highlight w:val="none"/>
          <w:u w:val="none" w:color="auto"/>
        </w:rPr>
        <w:t>5.住房保障支出</w:t>
      </w:r>
      <w:r>
        <w:rPr>
          <w:rFonts w:hint="eastAsia" w:ascii="仿宋_GB2312" w:hAnsi="仿宋" w:eastAsia="仿宋_GB2312" w:cs="仿宋_GB2312"/>
          <w:kern w:val="0"/>
          <w:sz w:val="32"/>
          <w:szCs w:val="32"/>
          <w:highlight w:val="none"/>
          <w:u w:val="none" w:color="auto"/>
          <w:lang w:val="en-US" w:eastAsia="zh-CN"/>
        </w:rPr>
        <w:t>19383</w:t>
      </w:r>
      <w:r>
        <w:rPr>
          <w:rFonts w:hint="eastAsia" w:ascii="仿宋_GB2312" w:hAnsi="仿宋" w:eastAsia="仿宋_GB2312" w:cs="仿宋_GB2312"/>
          <w:kern w:val="0"/>
          <w:sz w:val="32"/>
          <w:szCs w:val="32"/>
          <w:highlight w:val="none"/>
          <w:u w:val="none" w:color="auto"/>
        </w:rPr>
        <w:t>万元，</w:t>
      </w:r>
      <w:r>
        <w:rPr>
          <w:rFonts w:hint="eastAsia" w:ascii="仿宋_GB2312" w:hAnsi="仿宋" w:eastAsia="仿宋_GB2312" w:cs="仿宋_GB2312"/>
          <w:kern w:val="0"/>
          <w:sz w:val="32"/>
          <w:szCs w:val="32"/>
          <w:highlight w:val="none"/>
          <w:u w:val="none" w:color="auto"/>
          <w:lang w:eastAsia="zh-CN"/>
        </w:rPr>
        <w:t>较上年增加</w:t>
      </w:r>
      <w:r>
        <w:rPr>
          <w:rFonts w:hint="eastAsia" w:ascii="仿宋_GB2312" w:hAnsi="仿宋" w:eastAsia="仿宋_GB2312" w:cs="仿宋_GB2312"/>
          <w:kern w:val="0"/>
          <w:sz w:val="32"/>
          <w:szCs w:val="32"/>
          <w:highlight w:val="none"/>
          <w:u w:val="none" w:color="auto"/>
          <w:lang w:val="en-US" w:eastAsia="zh-CN"/>
        </w:rPr>
        <w:t>1096</w:t>
      </w:r>
      <w:r>
        <w:rPr>
          <w:rFonts w:hint="eastAsia" w:ascii="仿宋_GB2312" w:hAnsi="仿宋" w:eastAsia="仿宋_GB2312" w:cs="仿宋_GB2312"/>
          <w:kern w:val="0"/>
          <w:sz w:val="32"/>
          <w:szCs w:val="32"/>
          <w:highlight w:val="none"/>
          <w:u w:val="none" w:color="auto"/>
        </w:rPr>
        <w:t>万元，</w:t>
      </w:r>
      <w:r>
        <w:rPr>
          <w:rFonts w:hint="eastAsia" w:ascii="仿宋_GB2312" w:hAnsi="仿宋" w:eastAsia="仿宋_GB2312" w:cs="仿宋_GB2312"/>
          <w:kern w:val="0"/>
          <w:sz w:val="32"/>
          <w:szCs w:val="32"/>
          <w:highlight w:val="none"/>
          <w:u w:val="none" w:color="auto"/>
          <w:lang w:eastAsia="zh-CN"/>
        </w:rPr>
        <w:t>增长</w:t>
      </w:r>
      <w:r>
        <w:rPr>
          <w:rFonts w:hint="eastAsia" w:ascii="仿宋_GB2312" w:hAnsi="仿宋" w:eastAsia="仿宋_GB2312" w:cs="仿宋_GB2312"/>
          <w:kern w:val="0"/>
          <w:sz w:val="32"/>
          <w:szCs w:val="32"/>
          <w:highlight w:val="none"/>
          <w:u w:val="none" w:color="auto"/>
          <w:lang w:val="en-US" w:eastAsia="zh-CN"/>
        </w:rPr>
        <w:t>6</w:t>
      </w:r>
      <w:r>
        <w:rPr>
          <w:rFonts w:hint="eastAsia" w:ascii="仿宋_GB2312" w:hAnsi="仿宋" w:eastAsia="仿宋_GB2312" w:cs="仿宋_GB2312"/>
          <w:kern w:val="0"/>
          <w:sz w:val="32"/>
          <w:szCs w:val="32"/>
          <w:highlight w:val="none"/>
          <w:u w:val="none" w:color="auto"/>
        </w:rPr>
        <w:t>%。</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Times New Roman"/>
          <w:kern w:val="0"/>
          <w:sz w:val="32"/>
          <w:szCs w:val="32"/>
          <w:highlight w:val="none"/>
          <w:u w:val="none" w:color="auto"/>
        </w:rPr>
      </w:pPr>
      <w:r>
        <w:rPr>
          <w:rFonts w:hint="eastAsia" w:ascii="仿宋_GB2312" w:hAnsi="仿宋" w:eastAsia="仿宋_GB2312" w:cs="仿宋_GB2312"/>
          <w:kern w:val="0"/>
          <w:sz w:val="32"/>
          <w:szCs w:val="32"/>
          <w:highlight w:val="none"/>
          <w:u w:val="none" w:color="auto"/>
        </w:rPr>
        <w:t>6.其他支出</w:t>
      </w:r>
      <w:r>
        <w:rPr>
          <w:rFonts w:hint="eastAsia" w:ascii="仿宋_GB2312" w:hAnsi="仿宋" w:eastAsia="仿宋_GB2312" w:cs="仿宋_GB2312"/>
          <w:kern w:val="0"/>
          <w:sz w:val="32"/>
          <w:szCs w:val="32"/>
          <w:highlight w:val="none"/>
          <w:u w:val="none" w:color="auto"/>
          <w:lang w:val="en-US" w:eastAsia="zh-CN"/>
        </w:rPr>
        <w:t>64725</w:t>
      </w:r>
      <w:r>
        <w:rPr>
          <w:rFonts w:hint="eastAsia" w:ascii="仿宋_GB2312" w:hAnsi="仿宋" w:eastAsia="仿宋_GB2312" w:cs="仿宋_GB2312"/>
          <w:kern w:val="0"/>
          <w:sz w:val="32"/>
          <w:szCs w:val="32"/>
          <w:highlight w:val="none"/>
          <w:u w:val="none" w:color="auto"/>
        </w:rPr>
        <w:t>万元，</w:t>
      </w:r>
      <w:r>
        <w:rPr>
          <w:rFonts w:hint="eastAsia" w:ascii="仿宋_GB2312" w:hAnsi="仿宋" w:eastAsia="仿宋_GB2312" w:cs="仿宋_GB2312"/>
          <w:kern w:val="0"/>
          <w:sz w:val="32"/>
          <w:szCs w:val="32"/>
          <w:highlight w:val="none"/>
          <w:u w:val="none" w:color="auto"/>
          <w:lang w:eastAsia="zh-CN"/>
        </w:rPr>
        <w:t>较上年</w:t>
      </w:r>
      <w:r>
        <w:rPr>
          <w:rFonts w:hint="eastAsia" w:ascii="仿宋_GB2312" w:hAnsi="仿宋" w:eastAsia="仿宋_GB2312" w:cs="仿宋_GB2312"/>
          <w:kern w:val="0"/>
          <w:sz w:val="32"/>
          <w:szCs w:val="32"/>
          <w:highlight w:val="none"/>
          <w:u w:val="none" w:color="auto"/>
        </w:rPr>
        <w:t>增加</w:t>
      </w:r>
      <w:r>
        <w:rPr>
          <w:rFonts w:hint="eastAsia" w:ascii="仿宋_GB2312" w:hAnsi="仿宋" w:eastAsia="仿宋_GB2312" w:cs="仿宋_GB2312"/>
          <w:kern w:val="0"/>
          <w:sz w:val="32"/>
          <w:szCs w:val="32"/>
          <w:highlight w:val="none"/>
          <w:u w:val="none" w:color="auto"/>
          <w:lang w:val="en-US" w:eastAsia="zh-CN"/>
        </w:rPr>
        <w:t>2025</w:t>
      </w:r>
      <w:r>
        <w:rPr>
          <w:rFonts w:hint="eastAsia" w:ascii="仿宋_GB2312" w:hAnsi="仿宋" w:eastAsia="仿宋_GB2312" w:cs="仿宋_GB2312"/>
          <w:kern w:val="0"/>
          <w:sz w:val="32"/>
          <w:szCs w:val="32"/>
          <w:highlight w:val="none"/>
          <w:u w:val="none" w:color="auto"/>
        </w:rPr>
        <w:t>万元，增长</w:t>
      </w:r>
      <w:r>
        <w:rPr>
          <w:rFonts w:hint="eastAsia" w:ascii="仿宋_GB2312" w:hAnsi="仿宋" w:eastAsia="仿宋_GB2312" w:cs="仿宋_GB2312"/>
          <w:kern w:val="0"/>
          <w:sz w:val="32"/>
          <w:szCs w:val="32"/>
          <w:highlight w:val="none"/>
          <w:u w:val="none" w:color="auto"/>
          <w:lang w:val="en-US" w:eastAsia="zh-CN"/>
        </w:rPr>
        <w:t>3.2</w:t>
      </w:r>
      <w:r>
        <w:rPr>
          <w:rFonts w:hint="eastAsia" w:ascii="仿宋_GB2312" w:hAnsi="仿宋" w:eastAsia="仿宋_GB2312" w:cs="仿宋_GB2312"/>
          <w:kern w:val="0"/>
          <w:sz w:val="32"/>
          <w:szCs w:val="32"/>
          <w:highlight w:val="none"/>
          <w:u w:val="none" w:color="auto"/>
        </w:rPr>
        <w:t>%。</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Style w:val="7"/>
          <w:rFonts w:ascii="仿宋_GB2312" w:hAnsi="楷体" w:eastAsia="仿宋_GB2312" w:cs="Times New Roman"/>
          <w:b w:val="0"/>
          <w:bCs w:val="0"/>
          <w:kern w:val="0"/>
          <w:sz w:val="32"/>
          <w:szCs w:val="32"/>
          <w:highlight w:val="none"/>
          <w:u w:val="none" w:color="auto"/>
        </w:rPr>
      </w:pPr>
      <w:r>
        <w:rPr>
          <w:rFonts w:hint="eastAsia" w:ascii="仿宋_GB2312" w:hAnsi="楷体" w:eastAsia="仿宋_GB2312" w:cs="仿宋_GB2312"/>
          <w:b/>
          <w:bCs/>
          <w:kern w:val="0"/>
          <w:sz w:val="32"/>
          <w:szCs w:val="32"/>
          <w:highlight w:val="none"/>
          <w:u w:val="none" w:color="auto"/>
        </w:rPr>
        <w:t>（三）</w:t>
      </w:r>
      <w:r>
        <w:rPr>
          <w:rStyle w:val="7"/>
          <w:rFonts w:hint="eastAsia" w:ascii="仿宋_GB2312" w:hAnsi="楷体" w:eastAsia="仿宋_GB2312" w:cs="仿宋_GB2312"/>
          <w:kern w:val="0"/>
          <w:sz w:val="32"/>
          <w:szCs w:val="32"/>
          <w:highlight w:val="none"/>
          <w:u w:val="none" w:color="auto"/>
        </w:rPr>
        <w:t>税收返还</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Times New Roman"/>
          <w:kern w:val="0"/>
          <w:sz w:val="32"/>
          <w:szCs w:val="32"/>
          <w:highlight w:val="none"/>
          <w:u w:val="none" w:color="auto"/>
        </w:rPr>
      </w:pPr>
      <w:r>
        <w:rPr>
          <w:rFonts w:hint="eastAsia" w:ascii="仿宋_GB2312" w:hAnsi="仿宋" w:eastAsia="仿宋_GB2312" w:cs="仿宋_GB2312"/>
          <w:kern w:val="0"/>
          <w:sz w:val="32"/>
          <w:szCs w:val="32"/>
          <w:highlight w:val="none"/>
          <w:u w:val="none" w:color="auto"/>
          <w:lang w:val="en-US" w:eastAsia="zh-CN"/>
        </w:rPr>
        <w:t>2024年</w:t>
      </w:r>
      <w:r>
        <w:rPr>
          <w:rFonts w:hint="eastAsia" w:ascii="仿宋_GB2312" w:hAnsi="仿宋" w:eastAsia="仿宋_GB2312" w:cs="仿宋_GB2312"/>
          <w:kern w:val="0"/>
          <w:sz w:val="32"/>
          <w:szCs w:val="32"/>
          <w:highlight w:val="none"/>
          <w:u w:val="none" w:color="auto"/>
        </w:rPr>
        <w:t>无安排对县区的税收返还。</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ascii="仿宋_GB2312" w:hAnsi="黑体" w:eastAsia="仿宋_GB2312" w:cs="Times New Roman"/>
          <w:b/>
          <w:bCs/>
          <w:sz w:val="32"/>
          <w:szCs w:val="32"/>
          <w:highlight w:val="none"/>
          <w:u w:val="none" w:color="auto"/>
        </w:rPr>
      </w:pPr>
      <w:r>
        <w:rPr>
          <w:rFonts w:hint="eastAsia" w:ascii="仿宋_GB2312" w:hAnsi="黑体" w:eastAsia="仿宋_GB2312" w:cs="仿宋_GB2312"/>
          <w:b/>
          <w:bCs/>
          <w:sz w:val="32"/>
          <w:szCs w:val="32"/>
          <w:highlight w:val="none"/>
          <w:u w:val="none" w:color="auto"/>
        </w:rPr>
        <w:t>三、政府债务情况</w:t>
      </w:r>
    </w:p>
    <w:p>
      <w:pPr>
        <w:pStyle w:val="12"/>
        <w:keepNext w:val="0"/>
        <w:keepLines w:val="0"/>
        <w:pageBreakBefore w:val="0"/>
        <w:widowControl w:val="0"/>
        <w:shd w:val="clear"/>
        <w:kinsoku/>
        <w:wordWrap/>
        <w:overflowPunct/>
        <w:topLinePunct w:val="0"/>
        <w:autoSpaceDE/>
        <w:autoSpaceDN/>
        <w:bidi w:val="0"/>
        <w:adjustRightInd/>
        <w:spacing w:line="520" w:lineRule="exact"/>
        <w:ind w:firstLine="592"/>
        <w:textAlignment w:val="auto"/>
        <w:rPr>
          <w:rFonts w:hint="eastAsia" w:ascii="仿宋" w:hAnsi="仿宋" w:eastAsia="仿宋" w:cs="Arial"/>
          <w:b w:val="0"/>
          <w:bCs w:val="0"/>
          <w:snapToGrid/>
          <w:kern w:val="0"/>
          <w:sz w:val="32"/>
          <w:szCs w:val="32"/>
          <w:highlight w:val="none"/>
          <w:u w:val="none" w:color="auto"/>
          <w:lang w:val="en-US" w:eastAsia="zh-CN" w:bidi="ar-SA"/>
        </w:rPr>
      </w:pPr>
      <w:r>
        <w:rPr>
          <w:rFonts w:hint="eastAsia" w:ascii="仿宋" w:hAnsi="仿宋" w:eastAsia="仿宋" w:cs="Arial"/>
          <w:b w:val="0"/>
          <w:bCs w:val="0"/>
          <w:snapToGrid/>
          <w:kern w:val="0"/>
          <w:sz w:val="32"/>
          <w:szCs w:val="32"/>
          <w:highlight w:val="none"/>
          <w:u w:val="none" w:color="auto"/>
          <w:lang w:val="en-US" w:eastAsia="zh-CN" w:bidi="ar-SA"/>
        </w:rPr>
        <w:t>（一）举借政府债务情况</w:t>
      </w:r>
    </w:p>
    <w:p>
      <w:pPr>
        <w:pStyle w:val="12"/>
        <w:pageBreakBefore w:val="0"/>
        <w:widowControl w:val="0"/>
        <w:shd w:val="clear"/>
        <w:kinsoku/>
        <w:wordWrap/>
        <w:overflowPunct/>
        <w:topLinePunct w:val="0"/>
        <w:autoSpaceDE/>
        <w:autoSpaceDN/>
        <w:bidi w:val="0"/>
        <w:adjustRightInd/>
        <w:spacing w:line="520" w:lineRule="exact"/>
        <w:ind w:firstLine="592"/>
        <w:textAlignment w:val="auto"/>
        <w:rPr>
          <w:rFonts w:ascii="仿宋" w:hAnsi="仿宋" w:eastAsia="仿宋" w:cs="仿宋"/>
          <w:spacing w:val="-6"/>
          <w:highlight w:val="none"/>
        </w:rPr>
      </w:pPr>
      <w:r>
        <w:rPr>
          <w:rFonts w:hint="eastAsia" w:ascii="仿宋" w:hAnsi="仿宋" w:eastAsia="仿宋" w:cs="仿宋"/>
          <w:spacing w:val="-6"/>
          <w:highlight w:val="none"/>
        </w:rPr>
        <w:t>202</w:t>
      </w:r>
      <w:r>
        <w:rPr>
          <w:rFonts w:hint="eastAsia" w:ascii="仿宋" w:hAnsi="仿宋" w:eastAsia="仿宋" w:cs="仿宋"/>
          <w:spacing w:val="-6"/>
          <w:highlight w:val="none"/>
          <w:lang w:val="en-US" w:eastAsia="zh-CN"/>
        </w:rPr>
        <w:t>3</w:t>
      </w:r>
      <w:r>
        <w:rPr>
          <w:rFonts w:hint="eastAsia" w:ascii="仿宋" w:hAnsi="仿宋" w:eastAsia="仿宋" w:cs="仿宋"/>
          <w:spacing w:val="-6"/>
          <w:highlight w:val="none"/>
        </w:rPr>
        <w:t>年全市新增政府债务限额</w:t>
      </w:r>
      <w:r>
        <w:rPr>
          <w:rFonts w:hint="eastAsia" w:ascii="仿宋" w:hAnsi="仿宋" w:eastAsia="仿宋" w:cs="仿宋"/>
          <w:spacing w:val="-6"/>
          <w:highlight w:val="none"/>
          <w:lang w:val="en-US" w:eastAsia="zh-CN"/>
        </w:rPr>
        <w:t>248.99</w:t>
      </w:r>
      <w:r>
        <w:rPr>
          <w:rFonts w:hint="eastAsia" w:ascii="仿宋" w:hAnsi="仿宋" w:eastAsia="仿宋" w:cs="仿宋"/>
          <w:spacing w:val="-6"/>
          <w:highlight w:val="none"/>
        </w:rPr>
        <w:t>亿元，</w:t>
      </w:r>
      <w:r>
        <w:rPr>
          <w:rFonts w:hint="eastAsia" w:ascii="仿宋" w:hAnsi="仿宋" w:eastAsia="仿宋" w:cs="仿宋"/>
          <w:spacing w:val="-6"/>
          <w:highlight w:val="none"/>
          <w:lang w:eastAsia="zh-CN"/>
        </w:rPr>
        <w:t>收回</w:t>
      </w:r>
      <w:r>
        <w:rPr>
          <w:rFonts w:hint="eastAsia" w:ascii="仿宋" w:hAnsi="仿宋" w:eastAsia="仿宋" w:cs="仿宋"/>
          <w:spacing w:val="-6"/>
          <w:highlight w:val="none"/>
        </w:rPr>
        <w:t>政府债务限额</w:t>
      </w:r>
      <w:r>
        <w:rPr>
          <w:rFonts w:hint="eastAsia" w:ascii="仿宋" w:hAnsi="仿宋" w:eastAsia="仿宋" w:cs="仿宋"/>
          <w:spacing w:val="-6"/>
          <w:highlight w:val="none"/>
          <w:lang w:val="en-US" w:eastAsia="zh-CN"/>
        </w:rPr>
        <w:t>119.32亿元，</w:t>
      </w:r>
      <w:r>
        <w:rPr>
          <w:rFonts w:hint="eastAsia" w:ascii="仿宋" w:hAnsi="仿宋" w:eastAsia="仿宋" w:cs="仿宋"/>
          <w:spacing w:val="-6"/>
          <w:highlight w:val="none"/>
        </w:rPr>
        <w:t>其中：市本级新增政府债务限额</w:t>
      </w:r>
      <w:r>
        <w:rPr>
          <w:rFonts w:hint="eastAsia" w:ascii="仿宋" w:hAnsi="仿宋" w:eastAsia="仿宋" w:cs="仿宋"/>
          <w:spacing w:val="-6"/>
          <w:highlight w:val="none"/>
          <w:lang w:val="en-US" w:eastAsia="zh-CN"/>
        </w:rPr>
        <w:t>46.29</w:t>
      </w:r>
      <w:r>
        <w:rPr>
          <w:rFonts w:hint="eastAsia" w:ascii="仿宋" w:hAnsi="仿宋" w:eastAsia="仿宋" w:cs="仿宋"/>
          <w:spacing w:val="-6"/>
          <w:highlight w:val="none"/>
        </w:rPr>
        <w:t>亿元</w:t>
      </w:r>
      <w:r>
        <w:rPr>
          <w:rFonts w:hint="eastAsia" w:ascii="仿宋" w:hAnsi="仿宋" w:eastAsia="仿宋" w:cs="仿宋"/>
          <w:spacing w:val="-6"/>
          <w:highlight w:val="none"/>
          <w:lang w:eastAsia="zh-CN"/>
        </w:rPr>
        <w:t>，收回政府债务限额</w:t>
      </w:r>
      <w:r>
        <w:rPr>
          <w:rFonts w:hint="eastAsia" w:ascii="仿宋" w:hAnsi="仿宋" w:eastAsia="仿宋" w:cs="仿宋"/>
          <w:spacing w:val="-6"/>
          <w:highlight w:val="none"/>
          <w:lang w:val="en-US" w:eastAsia="zh-CN"/>
        </w:rPr>
        <w:t>40.46亿元</w:t>
      </w:r>
      <w:r>
        <w:rPr>
          <w:rFonts w:hint="eastAsia" w:ascii="仿宋" w:hAnsi="仿宋" w:eastAsia="仿宋" w:cs="仿宋"/>
          <w:spacing w:val="-6"/>
          <w:highlight w:val="none"/>
        </w:rPr>
        <w:t>；县（市、区）新增政府债务限额</w:t>
      </w:r>
      <w:r>
        <w:rPr>
          <w:rFonts w:hint="eastAsia" w:ascii="仿宋" w:hAnsi="仿宋" w:eastAsia="仿宋" w:cs="仿宋"/>
          <w:spacing w:val="-6"/>
          <w:highlight w:val="none"/>
          <w:lang w:val="en-US" w:eastAsia="zh-CN"/>
        </w:rPr>
        <w:t>202.70</w:t>
      </w:r>
      <w:r>
        <w:rPr>
          <w:rFonts w:hint="eastAsia" w:ascii="仿宋" w:hAnsi="仿宋" w:eastAsia="仿宋" w:cs="仿宋"/>
          <w:spacing w:val="-6"/>
          <w:highlight w:val="none"/>
        </w:rPr>
        <w:t>亿元</w:t>
      </w:r>
      <w:r>
        <w:rPr>
          <w:rFonts w:hint="eastAsia" w:ascii="仿宋" w:hAnsi="仿宋" w:eastAsia="仿宋" w:cs="仿宋"/>
          <w:spacing w:val="-6"/>
          <w:highlight w:val="none"/>
          <w:lang w:eastAsia="zh-CN"/>
        </w:rPr>
        <w:t>，收回政府债务限额</w:t>
      </w:r>
      <w:r>
        <w:rPr>
          <w:rFonts w:hint="eastAsia" w:ascii="仿宋" w:hAnsi="仿宋" w:eastAsia="仿宋" w:cs="仿宋"/>
          <w:spacing w:val="-6"/>
          <w:highlight w:val="none"/>
          <w:lang w:val="en-US" w:eastAsia="zh-CN"/>
        </w:rPr>
        <w:t>78.86亿元</w:t>
      </w:r>
      <w:r>
        <w:rPr>
          <w:rFonts w:hint="eastAsia" w:ascii="仿宋" w:hAnsi="仿宋" w:eastAsia="仿宋" w:cs="仿宋"/>
          <w:spacing w:val="-6"/>
          <w:highlight w:val="none"/>
        </w:rPr>
        <w:t>。</w:t>
      </w:r>
    </w:p>
    <w:p>
      <w:pPr>
        <w:pStyle w:val="12"/>
        <w:keepNext w:val="0"/>
        <w:keepLines w:val="0"/>
        <w:pageBreakBefore w:val="0"/>
        <w:widowControl w:val="0"/>
        <w:shd w:val="clear"/>
        <w:kinsoku/>
        <w:wordWrap/>
        <w:overflowPunct/>
        <w:topLinePunct w:val="0"/>
        <w:autoSpaceDE/>
        <w:autoSpaceDN/>
        <w:bidi w:val="0"/>
        <w:adjustRightInd/>
        <w:spacing w:line="520" w:lineRule="exact"/>
        <w:ind w:firstLine="592"/>
        <w:textAlignment w:val="auto"/>
        <w:rPr>
          <w:rFonts w:hint="eastAsia" w:ascii="仿宋" w:hAnsi="仿宋" w:eastAsia="仿宋" w:cs="Arial"/>
          <w:b w:val="0"/>
          <w:bCs w:val="0"/>
          <w:snapToGrid/>
          <w:kern w:val="0"/>
          <w:sz w:val="32"/>
          <w:szCs w:val="32"/>
          <w:highlight w:val="none"/>
          <w:u w:val="none" w:color="auto"/>
          <w:lang w:val="en-US" w:eastAsia="zh-CN" w:bidi="ar-SA"/>
        </w:rPr>
      </w:pPr>
      <w:r>
        <w:rPr>
          <w:rFonts w:hint="eastAsia" w:ascii="仿宋" w:hAnsi="仿宋" w:eastAsia="仿宋" w:cs="Arial"/>
          <w:b w:val="0"/>
          <w:bCs w:val="0"/>
          <w:snapToGrid/>
          <w:kern w:val="0"/>
          <w:sz w:val="32"/>
          <w:szCs w:val="32"/>
          <w:highlight w:val="none"/>
          <w:u w:val="none" w:color="auto"/>
          <w:lang w:val="en-US" w:eastAsia="zh-CN" w:bidi="ar-SA"/>
        </w:rPr>
        <w:t>（二）地方政府债务限额余额情况</w:t>
      </w:r>
    </w:p>
    <w:p>
      <w:pPr>
        <w:pStyle w:val="12"/>
        <w:pageBreakBefore w:val="0"/>
        <w:widowControl w:val="0"/>
        <w:shd w:val="clear"/>
        <w:kinsoku/>
        <w:wordWrap/>
        <w:overflowPunct/>
        <w:topLinePunct w:val="0"/>
        <w:autoSpaceDE/>
        <w:autoSpaceDN/>
        <w:bidi w:val="0"/>
        <w:adjustRightInd/>
        <w:spacing w:line="520" w:lineRule="exact"/>
        <w:ind w:firstLine="616" w:firstLineChars="200"/>
        <w:textAlignment w:val="auto"/>
        <w:rPr>
          <w:rFonts w:ascii="楷体" w:eastAsia="楷体" w:cs="仿宋"/>
          <w:b/>
          <w:spacing w:val="-6"/>
          <w:highlight w:val="none"/>
        </w:rPr>
      </w:pPr>
      <w:r>
        <w:rPr>
          <w:rFonts w:hint="eastAsia" w:ascii="仿宋" w:hAnsi="仿宋" w:eastAsia="仿宋" w:cs="仿宋"/>
          <w:spacing w:val="-6"/>
          <w:highlight w:val="none"/>
        </w:rPr>
        <w:t>截至202</w:t>
      </w:r>
      <w:r>
        <w:rPr>
          <w:rFonts w:hint="eastAsia" w:ascii="仿宋" w:hAnsi="仿宋" w:eastAsia="仿宋" w:cs="仿宋"/>
          <w:spacing w:val="-6"/>
          <w:highlight w:val="none"/>
          <w:lang w:val="en-US" w:eastAsia="zh-CN"/>
        </w:rPr>
        <w:t>3</w:t>
      </w:r>
      <w:r>
        <w:rPr>
          <w:rFonts w:hint="eastAsia" w:ascii="仿宋" w:hAnsi="仿宋" w:eastAsia="仿宋" w:cs="仿宋"/>
          <w:spacing w:val="-6"/>
          <w:highlight w:val="none"/>
        </w:rPr>
        <w:t>年底，全市政府债务余额预计执行数</w:t>
      </w:r>
      <w:r>
        <w:rPr>
          <w:rFonts w:hint="eastAsia" w:ascii="仿宋" w:hAnsi="仿宋" w:eastAsia="仿宋" w:cs="仿宋"/>
          <w:spacing w:val="-6"/>
          <w:highlight w:val="none"/>
          <w:lang w:val="en-US" w:eastAsia="zh-CN"/>
        </w:rPr>
        <w:t>2343.54</w:t>
      </w:r>
      <w:r>
        <w:rPr>
          <w:rFonts w:hint="eastAsia" w:ascii="仿宋" w:hAnsi="仿宋" w:eastAsia="仿宋" w:cs="仿宋"/>
          <w:spacing w:val="-6"/>
          <w:highlight w:val="none"/>
        </w:rPr>
        <w:t>亿元，债务余额严格控制在中央核定的限额</w:t>
      </w:r>
      <w:r>
        <w:rPr>
          <w:rFonts w:hint="eastAsia" w:ascii="仿宋" w:hAnsi="仿宋" w:eastAsia="仿宋" w:cs="仿宋"/>
          <w:spacing w:val="-6"/>
          <w:highlight w:val="none"/>
          <w:lang w:val="en-US" w:eastAsia="zh-CN"/>
        </w:rPr>
        <w:t>2449.12</w:t>
      </w:r>
      <w:r>
        <w:rPr>
          <w:rFonts w:hint="eastAsia" w:ascii="仿宋" w:hAnsi="仿宋" w:eastAsia="仿宋" w:cs="仿宋"/>
          <w:spacing w:val="-6"/>
          <w:highlight w:val="none"/>
        </w:rPr>
        <w:t>亿元内（所属地区地方政府债务限额及余额预计执行数详见附表）；市本级政府债务余额预计执行数</w:t>
      </w:r>
      <w:r>
        <w:rPr>
          <w:rFonts w:hint="eastAsia" w:ascii="仿宋" w:hAnsi="仿宋" w:eastAsia="仿宋" w:cs="仿宋"/>
          <w:spacing w:val="-6"/>
          <w:highlight w:val="none"/>
          <w:lang w:val="en-US" w:eastAsia="zh-CN"/>
        </w:rPr>
        <w:t>562.50</w:t>
      </w:r>
      <w:r>
        <w:rPr>
          <w:rFonts w:hint="eastAsia" w:ascii="仿宋" w:hAnsi="仿宋" w:eastAsia="仿宋" w:cs="仿宋"/>
          <w:spacing w:val="-6"/>
          <w:highlight w:val="none"/>
        </w:rPr>
        <w:t>亿元，债务余额严格控制在限额</w:t>
      </w:r>
      <w:r>
        <w:rPr>
          <w:rFonts w:hint="eastAsia" w:ascii="仿宋" w:hAnsi="仿宋" w:eastAsia="仿宋" w:cs="仿宋"/>
          <w:spacing w:val="-6"/>
          <w:highlight w:val="none"/>
          <w:lang w:val="en-US" w:eastAsia="zh-CN"/>
        </w:rPr>
        <w:t>578.59</w:t>
      </w:r>
      <w:r>
        <w:rPr>
          <w:rFonts w:hint="eastAsia" w:ascii="仿宋" w:hAnsi="仿宋" w:eastAsia="仿宋" w:cs="仿宋"/>
          <w:spacing w:val="-6"/>
          <w:highlight w:val="none"/>
        </w:rPr>
        <w:t>亿元内。</w:t>
      </w:r>
    </w:p>
    <w:p>
      <w:pPr>
        <w:pStyle w:val="12"/>
        <w:keepNext w:val="0"/>
        <w:keepLines w:val="0"/>
        <w:pageBreakBefore w:val="0"/>
        <w:widowControl w:val="0"/>
        <w:shd w:val="clear"/>
        <w:kinsoku/>
        <w:wordWrap/>
        <w:overflowPunct/>
        <w:topLinePunct w:val="0"/>
        <w:autoSpaceDE/>
        <w:autoSpaceDN/>
        <w:bidi w:val="0"/>
        <w:adjustRightInd/>
        <w:spacing w:line="520" w:lineRule="exact"/>
        <w:ind w:firstLine="592"/>
        <w:textAlignment w:val="auto"/>
        <w:rPr>
          <w:rFonts w:hint="eastAsia" w:ascii="仿宋" w:hAnsi="仿宋" w:eastAsia="仿宋" w:cs="Arial"/>
          <w:b w:val="0"/>
          <w:bCs w:val="0"/>
          <w:snapToGrid/>
          <w:kern w:val="0"/>
          <w:sz w:val="32"/>
          <w:szCs w:val="32"/>
          <w:highlight w:val="none"/>
          <w:u w:val="none" w:color="auto"/>
          <w:lang w:val="en-US" w:eastAsia="zh-CN" w:bidi="ar-SA"/>
        </w:rPr>
      </w:pPr>
      <w:r>
        <w:rPr>
          <w:rFonts w:hint="eastAsia" w:ascii="仿宋" w:hAnsi="仿宋" w:eastAsia="仿宋" w:cs="Arial"/>
          <w:b w:val="0"/>
          <w:bCs w:val="0"/>
          <w:snapToGrid/>
          <w:kern w:val="0"/>
          <w:sz w:val="32"/>
          <w:szCs w:val="32"/>
          <w:highlight w:val="none"/>
          <w:u w:val="none" w:color="auto"/>
          <w:lang w:val="en-US" w:eastAsia="zh-CN" w:bidi="ar-SA"/>
        </w:rPr>
        <w:t>（三）地方政府债券发行情况</w:t>
      </w:r>
    </w:p>
    <w:p>
      <w:pPr>
        <w:pStyle w:val="12"/>
        <w:pageBreakBefore w:val="0"/>
        <w:widowControl w:val="0"/>
        <w:shd w:val="clear"/>
        <w:kinsoku/>
        <w:wordWrap/>
        <w:overflowPunct/>
        <w:topLinePunct w:val="0"/>
        <w:autoSpaceDE/>
        <w:autoSpaceDN/>
        <w:bidi w:val="0"/>
        <w:adjustRightInd/>
        <w:spacing w:line="520" w:lineRule="exact"/>
        <w:ind w:firstLine="616" w:firstLineChars="200"/>
        <w:textAlignment w:val="auto"/>
        <w:rPr>
          <w:rFonts w:ascii="仿宋" w:hAnsi="仿宋" w:eastAsia="仿宋" w:cs="仿宋"/>
          <w:spacing w:val="-6"/>
          <w:highlight w:val="none"/>
        </w:rPr>
      </w:pPr>
      <w:r>
        <w:rPr>
          <w:rFonts w:hint="eastAsia" w:ascii="仿宋" w:hAnsi="仿宋" w:eastAsia="仿宋" w:cs="仿宋"/>
          <w:spacing w:val="-6"/>
          <w:highlight w:val="none"/>
        </w:rPr>
        <w:t>202</w:t>
      </w:r>
      <w:r>
        <w:rPr>
          <w:rFonts w:hint="eastAsia" w:ascii="仿宋" w:hAnsi="仿宋" w:eastAsia="仿宋" w:cs="仿宋"/>
          <w:spacing w:val="-6"/>
          <w:highlight w:val="none"/>
          <w:lang w:val="en-US" w:eastAsia="zh-CN"/>
        </w:rPr>
        <w:t>3</w:t>
      </w:r>
      <w:r>
        <w:rPr>
          <w:rFonts w:hint="eastAsia" w:ascii="仿宋" w:hAnsi="仿宋" w:eastAsia="仿宋" w:cs="仿宋"/>
          <w:spacing w:val="-6"/>
          <w:highlight w:val="none"/>
        </w:rPr>
        <w:t>年全市由省级代为发行地方政府债券</w:t>
      </w:r>
      <w:r>
        <w:rPr>
          <w:rFonts w:hint="eastAsia" w:ascii="仿宋" w:hAnsi="仿宋" w:eastAsia="仿宋" w:cs="仿宋"/>
          <w:spacing w:val="-6"/>
          <w:highlight w:val="none"/>
          <w:lang w:val="en-US" w:eastAsia="zh-CN"/>
        </w:rPr>
        <w:t>364.56</w:t>
      </w:r>
      <w:r>
        <w:rPr>
          <w:rFonts w:hint="eastAsia" w:ascii="仿宋" w:hAnsi="仿宋" w:eastAsia="仿宋" w:cs="仿宋"/>
          <w:spacing w:val="-6"/>
          <w:highlight w:val="none"/>
        </w:rPr>
        <w:t>亿元，其中：市本级</w:t>
      </w:r>
      <w:r>
        <w:rPr>
          <w:rFonts w:hint="eastAsia" w:ascii="仿宋" w:hAnsi="仿宋" w:eastAsia="仿宋" w:cs="仿宋"/>
          <w:spacing w:val="-6"/>
          <w:highlight w:val="none"/>
          <w:lang w:val="en-US" w:eastAsia="zh-CN"/>
        </w:rPr>
        <w:t>54.73</w:t>
      </w:r>
      <w:r>
        <w:rPr>
          <w:rFonts w:hint="eastAsia" w:ascii="仿宋" w:hAnsi="仿宋" w:eastAsia="仿宋" w:cs="仿宋"/>
          <w:spacing w:val="-6"/>
          <w:highlight w:val="none"/>
        </w:rPr>
        <w:t>亿元，县（市、区）</w:t>
      </w:r>
      <w:r>
        <w:rPr>
          <w:rFonts w:hint="eastAsia" w:ascii="仿宋" w:hAnsi="仿宋" w:eastAsia="仿宋" w:cs="仿宋"/>
          <w:spacing w:val="-6"/>
          <w:highlight w:val="none"/>
          <w:lang w:val="en-US" w:eastAsia="zh-CN"/>
        </w:rPr>
        <w:t>309.83</w:t>
      </w:r>
      <w:r>
        <w:rPr>
          <w:rFonts w:hint="eastAsia" w:ascii="仿宋" w:hAnsi="仿宋" w:eastAsia="仿宋" w:cs="仿宋"/>
          <w:spacing w:val="-6"/>
          <w:highlight w:val="none"/>
        </w:rPr>
        <w:t xml:space="preserve">亿元。 </w:t>
      </w:r>
    </w:p>
    <w:p>
      <w:pPr>
        <w:pStyle w:val="12"/>
        <w:pageBreakBefore w:val="0"/>
        <w:widowControl w:val="0"/>
        <w:shd w:val="clear"/>
        <w:kinsoku/>
        <w:wordWrap/>
        <w:overflowPunct/>
        <w:topLinePunct w:val="0"/>
        <w:autoSpaceDE/>
        <w:autoSpaceDN/>
        <w:bidi w:val="0"/>
        <w:adjustRightInd/>
        <w:spacing w:line="520" w:lineRule="exact"/>
        <w:ind w:firstLine="616" w:firstLineChars="200"/>
        <w:textAlignment w:val="auto"/>
        <w:rPr>
          <w:rFonts w:ascii="仿宋" w:hAnsi="仿宋" w:eastAsia="仿宋" w:cs="仿宋"/>
          <w:spacing w:val="-6"/>
          <w:highlight w:val="none"/>
        </w:rPr>
      </w:pPr>
      <w:r>
        <w:rPr>
          <w:rFonts w:hint="eastAsia" w:ascii="仿宋" w:hAnsi="仿宋" w:eastAsia="仿宋" w:cs="仿宋"/>
          <w:spacing w:val="-6"/>
          <w:highlight w:val="none"/>
        </w:rPr>
        <w:t>按债券性质分：由省级代为发行新增债券</w:t>
      </w:r>
      <w:r>
        <w:rPr>
          <w:rFonts w:hint="eastAsia" w:ascii="仿宋" w:hAnsi="仿宋" w:eastAsia="仿宋" w:cs="仿宋"/>
          <w:spacing w:val="-6"/>
          <w:highlight w:val="none"/>
          <w:lang w:val="en-US" w:eastAsia="zh-CN"/>
        </w:rPr>
        <w:t>248.99</w:t>
      </w:r>
      <w:r>
        <w:rPr>
          <w:rFonts w:hint="eastAsia" w:ascii="仿宋" w:hAnsi="仿宋" w:eastAsia="仿宋" w:cs="仿宋"/>
          <w:spacing w:val="-6"/>
          <w:highlight w:val="none"/>
        </w:rPr>
        <w:t>亿元、由省级代为发行再融资债券</w:t>
      </w:r>
      <w:r>
        <w:rPr>
          <w:rFonts w:hint="eastAsia" w:ascii="仿宋" w:hAnsi="仿宋" w:eastAsia="仿宋" w:cs="仿宋"/>
          <w:spacing w:val="-6"/>
          <w:highlight w:val="none"/>
          <w:lang w:val="en-US" w:eastAsia="zh-CN"/>
        </w:rPr>
        <w:t>115.57</w:t>
      </w:r>
      <w:r>
        <w:rPr>
          <w:rFonts w:hint="eastAsia" w:ascii="仿宋" w:hAnsi="仿宋" w:eastAsia="仿宋" w:cs="仿宋"/>
          <w:spacing w:val="-6"/>
          <w:highlight w:val="none"/>
        </w:rPr>
        <w:t>亿元。</w:t>
      </w:r>
    </w:p>
    <w:p>
      <w:pPr>
        <w:pStyle w:val="12"/>
        <w:keepNext w:val="0"/>
        <w:keepLines w:val="0"/>
        <w:pageBreakBefore w:val="0"/>
        <w:widowControl w:val="0"/>
        <w:shd w:val="clear"/>
        <w:kinsoku/>
        <w:wordWrap/>
        <w:overflowPunct/>
        <w:topLinePunct w:val="0"/>
        <w:autoSpaceDE/>
        <w:autoSpaceDN/>
        <w:bidi w:val="0"/>
        <w:adjustRightInd/>
        <w:spacing w:line="520" w:lineRule="exact"/>
        <w:ind w:firstLine="592"/>
        <w:textAlignment w:val="auto"/>
        <w:rPr>
          <w:rFonts w:hint="eastAsia" w:ascii="仿宋" w:hAnsi="仿宋" w:eastAsia="仿宋" w:cs="Arial"/>
          <w:b w:val="0"/>
          <w:bCs w:val="0"/>
          <w:snapToGrid/>
          <w:kern w:val="0"/>
          <w:sz w:val="32"/>
          <w:szCs w:val="32"/>
          <w:highlight w:val="none"/>
          <w:u w:val="none" w:color="auto"/>
          <w:lang w:val="en-US" w:eastAsia="zh-CN" w:bidi="ar-SA"/>
        </w:rPr>
      </w:pPr>
      <w:r>
        <w:rPr>
          <w:rFonts w:hint="eastAsia" w:ascii="仿宋" w:hAnsi="仿宋" w:eastAsia="仿宋" w:cs="Arial"/>
          <w:b w:val="0"/>
          <w:bCs w:val="0"/>
          <w:snapToGrid/>
          <w:kern w:val="0"/>
          <w:sz w:val="32"/>
          <w:szCs w:val="32"/>
          <w:highlight w:val="none"/>
          <w:u w:val="none" w:color="auto"/>
          <w:lang w:val="en-US" w:eastAsia="zh-CN" w:bidi="ar-SA"/>
        </w:rPr>
        <w:t>（四）地方政府债券还本付息情况</w:t>
      </w:r>
    </w:p>
    <w:p>
      <w:pPr>
        <w:pStyle w:val="12"/>
        <w:pageBreakBefore w:val="0"/>
        <w:widowControl w:val="0"/>
        <w:shd w:val="clear"/>
        <w:kinsoku/>
        <w:wordWrap/>
        <w:overflowPunct/>
        <w:topLinePunct w:val="0"/>
        <w:autoSpaceDE/>
        <w:autoSpaceDN/>
        <w:bidi w:val="0"/>
        <w:adjustRightInd/>
        <w:spacing w:line="520" w:lineRule="exact"/>
        <w:ind w:firstLine="616" w:firstLineChars="200"/>
        <w:textAlignment w:val="auto"/>
        <w:rPr>
          <w:rFonts w:ascii="仿宋" w:hAnsi="仿宋" w:eastAsia="仿宋" w:cs="仿宋"/>
          <w:spacing w:val="-6"/>
          <w:highlight w:val="none"/>
        </w:rPr>
      </w:pPr>
      <w:r>
        <w:rPr>
          <w:rFonts w:hint="eastAsia" w:ascii="仿宋" w:hAnsi="仿宋" w:eastAsia="仿宋" w:cs="仿宋"/>
          <w:spacing w:val="-6"/>
          <w:highlight w:val="none"/>
        </w:rPr>
        <w:t>202</w:t>
      </w:r>
      <w:r>
        <w:rPr>
          <w:rFonts w:hint="eastAsia" w:ascii="仿宋" w:hAnsi="仿宋" w:eastAsia="仿宋" w:cs="仿宋"/>
          <w:spacing w:val="-6"/>
          <w:highlight w:val="none"/>
          <w:lang w:val="en-US" w:eastAsia="zh-CN"/>
        </w:rPr>
        <w:t>3</w:t>
      </w:r>
      <w:r>
        <w:rPr>
          <w:rFonts w:hint="eastAsia" w:ascii="仿宋" w:hAnsi="仿宋" w:eastAsia="仿宋" w:cs="仿宋"/>
          <w:spacing w:val="-6"/>
          <w:highlight w:val="none"/>
        </w:rPr>
        <w:t>年全市地方政府债券还本付息</w:t>
      </w:r>
      <w:r>
        <w:rPr>
          <w:rFonts w:hint="eastAsia" w:ascii="仿宋" w:hAnsi="仿宋" w:eastAsia="仿宋" w:cs="仿宋"/>
          <w:spacing w:val="-6"/>
          <w:highlight w:val="none"/>
          <w:lang w:val="en-US" w:eastAsia="zh-CN"/>
        </w:rPr>
        <w:t>211.59</w:t>
      </w:r>
      <w:r>
        <w:rPr>
          <w:rFonts w:hint="eastAsia" w:ascii="仿宋" w:hAnsi="仿宋" w:eastAsia="仿宋" w:cs="仿宋"/>
          <w:spacing w:val="-6"/>
          <w:highlight w:val="none"/>
        </w:rPr>
        <w:t>亿元；市本级地方政府债券还本付息</w:t>
      </w:r>
      <w:r>
        <w:rPr>
          <w:rFonts w:hint="eastAsia" w:ascii="仿宋" w:hAnsi="仿宋" w:eastAsia="仿宋" w:cs="仿宋"/>
          <w:spacing w:val="-6"/>
          <w:highlight w:val="none"/>
          <w:lang w:val="en-US" w:eastAsia="zh-CN"/>
        </w:rPr>
        <w:t>28.33</w:t>
      </w:r>
      <w:r>
        <w:rPr>
          <w:rFonts w:hint="eastAsia" w:ascii="仿宋" w:hAnsi="仿宋" w:eastAsia="仿宋" w:cs="仿宋"/>
          <w:spacing w:val="-6"/>
          <w:highlight w:val="none"/>
        </w:rPr>
        <w:t xml:space="preserve">亿元。 </w:t>
      </w:r>
    </w:p>
    <w:p>
      <w:pPr>
        <w:pStyle w:val="12"/>
        <w:pageBreakBefore w:val="0"/>
        <w:widowControl w:val="0"/>
        <w:shd w:val="clear"/>
        <w:kinsoku/>
        <w:wordWrap/>
        <w:overflowPunct/>
        <w:topLinePunct w:val="0"/>
        <w:autoSpaceDE/>
        <w:autoSpaceDN/>
        <w:bidi w:val="0"/>
        <w:adjustRightInd/>
        <w:spacing w:line="520" w:lineRule="exact"/>
        <w:ind w:firstLine="616" w:firstLineChars="200"/>
        <w:textAlignment w:val="auto"/>
        <w:rPr>
          <w:rFonts w:ascii="仿宋" w:hAnsi="仿宋" w:eastAsia="仿宋" w:cs="仿宋"/>
          <w:spacing w:val="-6"/>
          <w:highlight w:val="none"/>
        </w:rPr>
      </w:pPr>
      <w:r>
        <w:rPr>
          <w:rFonts w:hint="eastAsia" w:ascii="仿宋" w:hAnsi="仿宋" w:eastAsia="仿宋" w:cs="仿宋"/>
          <w:spacing w:val="-6"/>
          <w:highlight w:val="none"/>
        </w:rPr>
        <w:t>202</w:t>
      </w:r>
      <w:r>
        <w:rPr>
          <w:rFonts w:hint="eastAsia" w:ascii="仿宋" w:hAnsi="仿宋" w:eastAsia="仿宋" w:cs="仿宋"/>
          <w:spacing w:val="-6"/>
          <w:highlight w:val="none"/>
          <w:lang w:val="en-US" w:eastAsia="zh-CN"/>
        </w:rPr>
        <w:t>4</w:t>
      </w:r>
      <w:r>
        <w:rPr>
          <w:rFonts w:hint="eastAsia" w:ascii="仿宋" w:hAnsi="仿宋" w:eastAsia="仿宋" w:cs="仿宋"/>
          <w:spacing w:val="-6"/>
          <w:highlight w:val="none"/>
        </w:rPr>
        <w:t>年全市地方政府债券还本付息313.27亿元；市本级地方政府债券还本付息</w:t>
      </w:r>
      <w:r>
        <w:rPr>
          <w:rFonts w:hint="eastAsia" w:ascii="仿宋" w:hAnsi="仿宋" w:eastAsia="仿宋" w:cs="仿宋"/>
          <w:spacing w:val="-6"/>
          <w:highlight w:val="none"/>
          <w:lang w:val="en-US" w:eastAsia="zh-CN"/>
        </w:rPr>
        <w:t>84.83</w:t>
      </w:r>
      <w:r>
        <w:rPr>
          <w:rFonts w:hint="eastAsia" w:ascii="仿宋" w:hAnsi="仿宋" w:eastAsia="仿宋" w:cs="仿宋"/>
          <w:spacing w:val="-6"/>
          <w:highlight w:val="none"/>
        </w:rPr>
        <w:t>亿元。</w:t>
      </w:r>
    </w:p>
    <w:p>
      <w:pPr>
        <w:pStyle w:val="12"/>
        <w:keepNext w:val="0"/>
        <w:keepLines w:val="0"/>
        <w:pageBreakBefore w:val="0"/>
        <w:widowControl w:val="0"/>
        <w:shd w:val="clear"/>
        <w:kinsoku/>
        <w:wordWrap/>
        <w:overflowPunct/>
        <w:topLinePunct w:val="0"/>
        <w:autoSpaceDE/>
        <w:autoSpaceDN/>
        <w:bidi w:val="0"/>
        <w:adjustRightInd/>
        <w:spacing w:line="520" w:lineRule="exact"/>
        <w:ind w:firstLine="592"/>
        <w:textAlignment w:val="auto"/>
        <w:rPr>
          <w:rFonts w:ascii="仿宋_GB2312" w:hAnsi="仿宋" w:eastAsia="仿宋_GB2312" w:cs="Times New Roman"/>
          <w:kern w:val="0"/>
          <w:sz w:val="32"/>
          <w:szCs w:val="32"/>
          <w:highlight w:val="none"/>
          <w:u w:val="none" w:color="auto"/>
        </w:rPr>
      </w:pPr>
      <w:r>
        <w:rPr>
          <w:rFonts w:hint="eastAsia" w:ascii="仿宋_GB2312" w:hAnsi="黑体" w:eastAsia="仿宋_GB2312" w:cs="仿宋_GB2312"/>
          <w:b/>
          <w:bCs/>
          <w:sz w:val="32"/>
          <w:szCs w:val="32"/>
          <w:highlight w:val="none"/>
          <w:u w:val="none" w:color="auto"/>
        </w:rPr>
        <w:t>四、泉州市本级“三公”经费预算安排情况</w:t>
      </w:r>
    </w:p>
    <w:p>
      <w:pPr>
        <w:keepNext w:val="0"/>
        <w:keepLines w:val="0"/>
        <w:pageBreakBefore w:val="0"/>
        <w:widowControl w:val="0"/>
        <w:shd w:val="clear"/>
        <w:kinsoku/>
        <w:wordWrap/>
        <w:overflowPunct/>
        <w:topLinePunct w:val="0"/>
        <w:autoSpaceDE/>
        <w:autoSpaceDN/>
        <w:bidi w:val="0"/>
        <w:adjustRightInd/>
        <w:snapToGrid/>
        <w:spacing w:line="520" w:lineRule="exact"/>
        <w:ind w:firstLine="616" w:firstLineChars="200"/>
        <w:textAlignment w:val="auto"/>
        <w:rPr>
          <w:rFonts w:hint="eastAsia" w:ascii="仿宋" w:hAnsi="仿宋" w:eastAsia="仿宋" w:cs="仿宋"/>
          <w:snapToGrid w:val="0"/>
          <w:spacing w:val="-6"/>
          <w:kern w:val="0"/>
          <w:sz w:val="32"/>
          <w:szCs w:val="24"/>
          <w:highlight w:val="none"/>
          <w:lang w:val="en-US" w:eastAsia="zh-CN" w:bidi="ar-SA"/>
        </w:rPr>
      </w:pPr>
      <w:r>
        <w:rPr>
          <w:rFonts w:hint="eastAsia" w:ascii="仿宋" w:hAnsi="仿宋" w:eastAsia="仿宋" w:cs="仿宋"/>
          <w:snapToGrid w:val="0"/>
          <w:spacing w:val="-6"/>
          <w:kern w:val="0"/>
          <w:sz w:val="32"/>
          <w:szCs w:val="24"/>
          <w:highlight w:val="none"/>
          <w:lang w:val="en-US" w:eastAsia="zh-CN" w:bidi="ar-SA"/>
        </w:rPr>
        <w:t>经汇总，本级（含台商投资区）2024年从一般公共预算拨款安排的“三公”经费预算数为7494.97万元，较上年增加337.73万元、增长4.7%。主要是省公安厅核增并划转泉州市本级公安机关执法执勤用车85辆，相应增加公务用车购置及运行费340万元，剔除该因素后“三公”经费预算较上年下降0.03%。①因公出国（境）经费318.2万元，增加12.95万元、较上年增长4.2%，主要是台商投资区受疫情影响前两年因公出国（境）活动减少，预算基数较低（20万元）,今年恢复性增加（较上年增加13万元）。②公务接待费1105.31万元，与上年基本持平。③公务用车购置及运行费6071.46万元，较上年增加324.82万元，增长5.7%，剔除前述执法执勤车辆划转因素，较上年下降0.3%。其中：公务用车购置费经费1538.2万元，较上年增长54.8%，主要是考虑公务用车平台及部分执法执勤用车达到报废年限，为确保出行安全及业务需要，更新添置公务用车。公务用车运行费4533.26万元，较上年下降4.6%，主要是统筹运行费用用于必要的公务用车购置。</w:t>
      </w:r>
    </w:p>
    <w:p>
      <w:pPr>
        <w:keepNext w:val="0"/>
        <w:keepLines w:val="0"/>
        <w:pageBreakBefore w:val="0"/>
        <w:widowControl w:val="0"/>
        <w:shd w:val="clear"/>
        <w:kinsoku/>
        <w:wordWrap/>
        <w:overflowPunct/>
        <w:topLinePunct w:val="0"/>
        <w:autoSpaceDE/>
        <w:autoSpaceDN/>
        <w:bidi w:val="0"/>
        <w:adjustRightInd/>
        <w:snapToGrid/>
        <w:spacing w:line="520" w:lineRule="exact"/>
        <w:ind w:firstLine="643" w:firstLineChars="200"/>
        <w:textAlignment w:val="auto"/>
        <w:rPr>
          <w:rFonts w:ascii="仿宋_GB2312" w:hAnsi="仿宋" w:eastAsia="仿宋_GB2312" w:cs="仿宋_GB2312"/>
          <w:b/>
          <w:kern w:val="0"/>
          <w:sz w:val="32"/>
          <w:szCs w:val="32"/>
          <w:highlight w:val="none"/>
          <w:u w:val="none" w:color="auto"/>
        </w:rPr>
      </w:pPr>
      <w:r>
        <w:rPr>
          <w:rFonts w:hint="eastAsia" w:ascii="仿宋_GB2312" w:hAnsi="仿宋" w:eastAsia="仿宋_GB2312" w:cs="仿宋_GB2312"/>
          <w:b/>
          <w:kern w:val="0"/>
          <w:sz w:val="32"/>
          <w:szCs w:val="32"/>
          <w:highlight w:val="none"/>
          <w:u w:val="none" w:color="auto"/>
        </w:rPr>
        <w:t>五、预算绩效开展情况</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u w:val="none" w:color="auto"/>
          <w:lang w:val="en-US" w:eastAsia="zh-CN"/>
        </w:rPr>
      </w:pPr>
      <w:r>
        <w:rPr>
          <w:rFonts w:hint="eastAsia" w:ascii="仿宋" w:hAnsi="仿宋" w:eastAsia="仿宋" w:cs="仿宋"/>
          <w:sz w:val="32"/>
          <w:szCs w:val="32"/>
          <w:highlight w:val="none"/>
          <w:u w:val="none" w:color="auto"/>
          <w:lang w:val="en-US" w:eastAsia="zh-CN"/>
        </w:rPr>
        <w:t>2023年</w:t>
      </w:r>
      <w:r>
        <w:rPr>
          <w:rFonts w:hint="eastAsia" w:ascii="仿宋" w:hAnsi="仿宋" w:eastAsia="仿宋" w:cs="仿宋"/>
          <w:sz w:val="32"/>
          <w:szCs w:val="32"/>
          <w:highlight w:val="none"/>
        </w:rPr>
        <w:t>市本级完成2401个项目187.29亿元绩效目标批复及运行监控。</w:t>
      </w:r>
      <w:r>
        <w:rPr>
          <w:rFonts w:hint="eastAsia" w:ascii="仿宋" w:hAnsi="仿宋" w:eastAsia="仿宋" w:cs="仿宋"/>
          <w:sz w:val="32"/>
          <w:szCs w:val="32"/>
          <w:highlight w:val="none"/>
          <w:u w:val="none" w:color="auto"/>
          <w:lang w:eastAsia="zh-CN"/>
        </w:rPr>
        <w:t>①</w:t>
      </w:r>
      <w:r>
        <w:rPr>
          <w:rFonts w:hint="eastAsia" w:ascii="仿宋" w:hAnsi="仿宋" w:eastAsia="仿宋" w:cs="仿宋"/>
          <w:sz w:val="32"/>
          <w:szCs w:val="32"/>
          <w:highlight w:val="none"/>
          <w:u w:val="none" w:color="auto"/>
          <w:lang w:val="en-US" w:eastAsia="zh-CN"/>
        </w:rPr>
        <w:t>选取12个社会关注度高、重点领域的2022年项目，聘请第三方机构开展重点评价，涉及资金7.16亿元，评价结果10优2良，发现问题37个，修订完善文物保护、金融发展、生态保护等专项资金管理办法3份，整合其他环保类项目1个，综合市文旅经济大会、金融大会和创新大会新出台政策，2024年预算编制增加安排8500万元。②聘请第三方机构组织对2023年度11个单位13个预算项目开展事中绩效评价，发现问题21个，对支出进度偏慢和偏离绩效目标的项目及时预警并督促整改，结合部门监控结果，将预算执行进度滞后、沉淀的资金42498万元统筹编入下一年度预算综合平衡。③2024年预算编制工作中，对67个项目开展事前绩效评估，不予支持或暂缓支持的项目23个，调减资金3097万元，从源头上提高预算编制的科学性和精准性，</w:t>
      </w:r>
      <w:r>
        <w:rPr>
          <w:rFonts w:hint="eastAsia" w:ascii="仿宋" w:hAnsi="仿宋" w:eastAsia="仿宋" w:cs="仿宋"/>
          <w:sz w:val="32"/>
          <w:szCs w:val="32"/>
          <w:highlight w:val="none"/>
          <w:u w:val="none" w:color="auto"/>
          <w:lang w:eastAsia="zh-CN"/>
        </w:rPr>
        <w:t>提升预算绩效管理水平。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highlight w:val="yellow"/>
          <w:u w:val="none" w:color="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9CBC19B-BF4F-4F9E-9FF7-DB73C22C8EF3}"/>
  </w:font>
  <w:font w:name="黑体">
    <w:panose1 w:val="02010609060101010101"/>
    <w:charset w:val="86"/>
    <w:family w:val="auto"/>
    <w:pitch w:val="default"/>
    <w:sig w:usb0="800002BF" w:usb1="38CF7CFA" w:usb2="00000016" w:usb3="00000000" w:csb0="00040001" w:csb1="00000000"/>
    <w:embedRegular r:id="rId2" w:fontKey="{BF23B744-F7E5-47A0-B073-9D0A31775C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3" w:fontKey="{B4E1ACC8-D645-46A1-90E1-6EA6292C36A6}"/>
  </w:font>
  <w:font w:name="方正小标宋简体">
    <w:panose1 w:val="02010601030101010101"/>
    <w:charset w:val="86"/>
    <w:family w:val="auto"/>
    <w:pitch w:val="default"/>
    <w:sig w:usb0="00000001" w:usb1="080E0000" w:usb2="00000000" w:usb3="00000000" w:csb0="00040000" w:csb1="00000000"/>
    <w:embedRegular r:id="rId4" w:fontKey="{D91F7FA8-2E23-4E15-AE81-7A3172C6180C}"/>
  </w:font>
  <w:font w:name="仿宋_GB2312">
    <w:panose1 w:val="02010609030101010101"/>
    <w:charset w:val="86"/>
    <w:family w:val="modern"/>
    <w:pitch w:val="default"/>
    <w:sig w:usb0="00000001" w:usb1="080E0000" w:usb2="00000000" w:usb3="00000000" w:csb0="00040000" w:csb1="00000000"/>
    <w:embedRegular r:id="rId5" w:fontKey="{D4729262-E58E-4B3C-AB53-E0316B179C91}"/>
  </w:font>
  <w:font w:name="仿宋">
    <w:panose1 w:val="02010609060101010101"/>
    <w:charset w:val="86"/>
    <w:family w:val="modern"/>
    <w:pitch w:val="default"/>
    <w:sig w:usb0="800002BF" w:usb1="38CF7CFA" w:usb2="00000016" w:usb3="00000000" w:csb0="00040001" w:csb1="00000000"/>
    <w:embedRegular r:id="rId6" w:fontKey="{F1D05336-690C-4F34-915F-EE20091FD9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9594400"/>
      <w:docPartObj>
        <w:docPartGallery w:val="autotext"/>
      </w:docPartObj>
    </w:sdtPr>
    <w:sdtContent>
      <w:p>
        <w:pPr>
          <w:pStyle w:val="3"/>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NDA2NzUyODA0OGRiMTg4ODVmZmIxMDU0MjUwM2YifQ=="/>
  </w:docVars>
  <w:rsids>
    <w:rsidRoot w:val="00DC4ABD"/>
    <w:rsid w:val="00013E60"/>
    <w:rsid w:val="000279DE"/>
    <w:rsid w:val="00044B5F"/>
    <w:rsid w:val="000565CF"/>
    <w:rsid w:val="00086621"/>
    <w:rsid w:val="00093331"/>
    <w:rsid w:val="000A2507"/>
    <w:rsid w:val="000C060D"/>
    <w:rsid w:val="000E6EF1"/>
    <w:rsid w:val="000F0705"/>
    <w:rsid w:val="00186EE3"/>
    <w:rsid w:val="001C4B45"/>
    <w:rsid w:val="001D4025"/>
    <w:rsid w:val="002206B5"/>
    <w:rsid w:val="00220DDF"/>
    <w:rsid w:val="002401B1"/>
    <w:rsid w:val="002639C3"/>
    <w:rsid w:val="002A36A0"/>
    <w:rsid w:val="003568E9"/>
    <w:rsid w:val="00356A5D"/>
    <w:rsid w:val="0038028E"/>
    <w:rsid w:val="00390B8E"/>
    <w:rsid w:val="003932EF"/>
    <w:rsid w:val="003C5D3D"/>
    <w:rsid w:val="003D2905"/>
    <w:rsid w:val="00405204"/>
    <w:rsid w:val="004210C1"/>
    <w:rsid w:val="00487692"/>
    <w:rsid w:val="0049497D"/>
    <w:rsid w:val="004C7420"/>
    <w:rsid w:val="004E11AE"/>
    <w:rsid w:val="00500FFA"/>
    <w:rsid w:val="005A13CE"/>
    <w:rsid w:val="005E5D7F"/>
    <w:rsid w:val="00602307"/>
    <w:rsid w:val="00621143"/>
    <w:rsid w:val="00660854"/>
    <w:rsid w:val="00661052"/>
    <w:rsid w:val="0066400E"/>
    <w:rsid w:val="00674338"/>
    <w:rsid w:val="00681162"/>
    <w:rsid w:val="00691FA3"/>
    <w:rsid w:val="006D52FC"/>
    <w:rsid w:val="006E3E79"/>
    <w:rsid w:val="006F5B5B"/>
    <w:rsid w:val="00711471"/>
    <w:rsid w:val="007642D8"/>
    <w:rsid w:val="007853B7"/>
    <w:rsid w:val="00796D10"/>
    <w:rsid w:val="007F5DDB"/>
    <w:rsid w:val="0082212E"/>
    <w:rsid w:val="008B3954"/>
    <w:rsid w:val="00902271"/>
    <w:rsid w:val="009615AB"/>
    <w:rsid w:val="009A47E2"/>
    <w:rsid w:val="009C4FCB"/>
    <w:rsid w:val="009E7C10"/>
    <w:rsid w:val="00A30819"/>
    <w:rsid w:val="00A60ED6"/>
    <w:rsid w:val="00A85585"/>
    <w:rsid w:val="00AC6010"/>
    <w:rsid w:val="00B70D5D"/>
    <w:rsid w:val="00BC3EB1"/>
    <w:rsid w:val="00BF475B"/>
    <w:rsid w:val="00C11A8F"/>
    <w:rsid w:val="00C17972"/>
    <w:rsid w:val="00C33309"/>
    <w:rsid w:val="00C5446C"/>
    <w:rsid w:val="00C645BC"/>
    <w:rsid w:val="00CD4410"/>
    <w:rsid w:val="00CE042F"/>
    <w:rsid w:val="00D30471"/>
    <w:rsid w:val="00D82795"/>
    <w:rsid w:val="00D92EC7"/>
    <w:rsid w:val="00DA2320"/>
    <w:rsid w:val="00DC4ABD"/>
    <w:rsid w:val="00DC7197"/>
    <w:rsid w:val="00E32255"/>
    <w:rsid w:val="00E747C2"/>
    <w:rsid w:val="00EA63E5"/>
    <w:rsid w:val="00EE57F6"/>
    <w:rsid w:val="00F14795"/>
    <w:rsid w:val="00F33A3A"/>
    <w:rsid w:val="00FA5E4E"/>
    <w:rsid w:val="00FB0CC7"/>
    <w:rsid w:val="00FD007A"/>
    <w:rsid w:val="03C0283D"/>
    <w:rsid w:val="03E95322"/>
    <w:rsid w:val="03F21D22"/>
    <w:rsid w:val="07C15F2C"/>
    <w:rsid w:val="0FCE72CB"/>
    <w:rsid w:val="112F78F5"/>
    <w:rsid w:val="13E26419"/>
    <w:rsid w:val="1E3D53A5"/>
    <w:rsid w:val="2F2C7A80"/>
    <w:rsid w:val="2FA4651C"/>
    <w:rsid w:val="318178A1"/>
    <w:rsid w:val="31844B16"/>
    <w:rsid w:val="38DF718C"/>
    <w:rsid w:val="3F6B7287"/>
    <w:rsid w:val="421D4873"/>
    <w:rsid w:val="55AB2C15"/>
    <w:rsid w:val="5A2E4D8E"/>
    <w:rsid w:val="5BFE5E30"/>
    <w:rsid w:val="5EAD5320"/>
    <w:rsid w:val="61131682"/>
    <w:rsid w:val="61D0219B"/>
    <w:rsid w:val="65E37F48"/>
    <w:rsid w:val="6AEE4D8F"/>
    <w:rsid w:val="6B523BE5"/>
    <w:rsid w:val="6B792D2F"/>
    <w:rsid w:val="70A067BE"/>
    <w:rsid w:val="72545EAE"/>
    <w:rsid w:val="73B86243"/>
    <w:rsid w:val="760A7432"/>
    <w:rsid w:val="7A39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b/>
      <w:bCs/>
    </w:rPr>
  </w:style>
  <w:style w:type="paragraph" w:customStyle="1" w:styleId="8">
    <w:name w:val="列出段落1"/>
    <w:basedOn w:val="1"/>
    <w:qFormat/>
    <w:uiPriority w:val="34"/>
    <w:pPr>
      <w:ind w:firstLine="420" w:firstLineChars="200"/>
    </w:p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内容"/>
    <w:basedOn w:val="1"/>
    <w:qFormat/>
    <w:uiPriority w:val="0"/>
    <w:pPr>
      <w:snapToGrid w:val="0"/>
      <w:spacing w:line="640" w:lineRule="exact"/>
      <w:ind w:firstLine="640"/>
    </w:pPr>
    <w:rPr>
      <w:rFonts w:hAnsi="楷体" w:cs="Times New Roman"/>
      <w:snapToGrid w:val="0"/>
      <w:kern w:val="0"/>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CEACC-A08B-4FA8-8A47-3D732472E4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5380</Words>
  <Characters>7216</Characters>
  <Lines>66</Lines>
  <Paragraphs>18</Paragraphs>
  <TotalTime>1</TotalTime>
  <ScaleCrop>false</ScaleCrop>
  <LinksUpToDate>false</LinksUpToDate>
  <CharactersWithSpaces>7555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2021-02-01T07:43:00Z</dcterms:created>
  <dc:creator>预算科/陈攀鑫1</dc:creator>
  <cp:lastModifiedBy>施玮琪</cp:lastModifiedBy>
  <cp:lastPrinted>2024-02-07T09:55:00Z</cp:lastPrinted>
  <dcterms:modified xsi:type="dcterms:W3CDTF">2024-02-08T04:06:48Z</dcterms:modified>
  <dc:title>附件2</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EDD5188143354ECDA716E5336A792362_13</vt:lpwstr>
  </property>
</Properties>
</file>