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spacing w:line="580" w:lineRule="exact"/>
        <w:ind w:firstLine="0"/>
        <w:jc w:val="center"/>
        <w:rPr>
          <w:rFonts w:ascii="方正小标宋简体" w:hAnsi="仿宋" w:eastAsia="方正小标宋简体" w:cs="黑体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黑体"/>
          <w:kern w:val="2"/>
          <w:sz w:val="44"/>
          <w:szCs w:val="44"/>
          <w:lang w:val="en-US" w:eastAsia="zh-CN"/>
        </w:rPr>
        <w:t>2020</w:t>
      </w:r>
      <w:r>
        <w:rPr>
          <w:rFonts w:hint="eastAsia" w:ascii="方正小标宋简体" w:hAnsi="仿宋" w:eastAsia="方正小标宋简体" w:cs="黑体"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="黑体"/>
          <w:kern w:val="2"/>
          <w:sz w:val="44"/>
          <w:szCs w:val="44"/>
          <w:lang w:eastAsia="zh-CN"/>
        </w:rPr>
        <w:t>泉州市</w:t>
      </w:r>
      <w:r>
        <w:rPr>
          <w:rFonts w:hint="eastAsia" w:ascii="方正小标宋简体" w:hAnsi="仿宋" w:eastAsia="方正小标宋简体" w:cs="黑体"/>
          <w:kern w:val="2"/>
          <w:sz w:val="44"/>
          <w:szCs w:val="44"/>
        </w:rPr>
        <w:t>地方政府债务情况</w:t>
      </w:r>
    </w:p>
    <w:p>
      <w:pPr>
        <w:pStyle w:val="6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6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6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年全市新增政府债务限额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117.06</w:t>
      </w:r>
      <w:r>
        <w:rPr>
          <w:rFonts w:hint="eastAsia" w:ascii="仿宋" w:hAnsi="仿宋" w:eastAsia="仿宋" w:cs="仿宋"/>
          <w:spacing w:val="-6"/>
        </w:rPr>
        <w:t>亿元，其中：市本级新增政府债务限额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41.10</w:t>
      </w:r>
      <w:r>
        <w:rPr>
          <w:rFonts w:hint="eastAsia" w:ascii="仿宋" w:hAnsi="仿宋" w:eastAsia="仿宋" w:cs="仿宋"/>
          <w:spacing w:val="-6"/>
        </w:rPr>
        <w:t>亿元；县（市、区）新增政府债务限额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75.96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6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6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年底，全市政府债务余额预计执行数1435.0</w:t>
      </w:r>
      <w:r>
        <w:rPr>
          <w:rFonts w:hint="eastAsia" w:ascii="仿宋" w:hAnsi="仿宋" w:eastAsia="仿宋" w:cs="仿宋"/>
          <w:spacing w:val="-6"/>
          <w:lang w:val="en-US" w:eastAsia="zh-CN"/>
        </w:rPr>
        <w:t>6</w:t>
      </w:r>
      <w:r>
        <w:rPr>
          <w:rFonts w:hint="eastAsia" w:ascii="仿宋" w:hAnsi="仿宋" w:eastAsia="仿宋" w:cs="仿宋"/>
          <w:spacing w:val="-6"/>
        </w:rPr>
        <w:t>亿元，债务余额严格控制在中央核定的限额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1582.92</w:t>
      </w:r>
      <w:r>
        <w:rPr>
          <w:rFonts w:hint="eastAsia" w:ascii="仿宋" w:hAnsi="仿宋" w:eastAsia="仿宋" w:cs="仿宋"/>
          <w:spacing w:val="-6"/>
        </w:rPr>
        <w:t>亿元内（所属地区地方政府债务限额及余额预计执行数详见附表）；市本级政府债务余额预计执行数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397.87</w:t>
      </w:r>
      <w:r>
        <w:rPr>
          <w:rFonts w:hint="eastAsia" w:ascii="仿宋" w:hAnsi="仿宋" w:eastAsia="仿宋" w:cs="仿宋"/>
          <w:spacing w:val="-6"/>
        </w:rPr>
        <w:t>亿元，债务余额严格控制在限额</w:t>
      </w:r>
      <w:r>
        <w:rPr>
          <w:rFonts w:hint="eastAsia" w:ascii="仿宋" w:hAnsi="仿宋" w:eastAsia="仿宋" w:cs="仿宋"/>
          <w:spacing w:val="-6"/>
          <w:lang w:val="en-US" w:eastAsia="zh-CN"/>
        </w:rPr>
        <w:t>443.32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6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6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年全市由省级代为发行地方政府债券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137.86</w:t>
      </w:r>
      <w:r>
        <w:rPr>
          <w:rFonts w:hint="eastAsia" w:ascii="仿宋" w:hAnsi="仿宋" w:eastAsia="仿宋" w:cs="仿宋"/>
          <w:spacing w:val="-6"/>
        </w:rPr>
        <w:t>亿元，其中：市本级</w:t>
      </w:r>
      <w:r>
        <w:rPr>
          <w:rFonts w:hint="eastAsia" w:ascii="仿宋" w:hAnsi="仿宋" w:eastAsia="仿宋" w:cs="仿宋"/>
          <w:spacing w:val="-6"/>
          <w:lang w:val="en-US" w:eastAsia="zh-CN"/>
        </w:rPr>
        <w:t>43.34</w:t>
      </w:r>
      <w:r>
        <w:rPr>
          <w:rFonts w:hint="eastAsia" w:ascii="仿宋" w:hAnsi="仿宋" w:eastAsia="仿宋" w:cs="仿宋"/>
          <w:spacing w:val="-6"/>
        </w:rPr>
        <w:t>亿元，县（市、区）</w:t>
      </w:r>
      <w:r>
        <w:rPr>
          <w:rFonts w:hint="eastAsia" w:ascii="仿宋" w:hAnsi="仿宋" w:eastAsia="仿宋" w:cs="仿宋"/>
          <w:spacing w:val="-6"/>
          <w:lang w:val="en-US" w:eastAsia="zh-CN"/>
        </w:rPr>
        <w:t>94.52</w:t>
      </w:r>
      <w:r>
        <w:rPr>
          <w:rFonts w:hint="eastAsia" w:ascii="仿宋" w:hAnsi="仿宋" w:eastAsia="仿宋" w:cs="仿宋"/>
          <w:spacing w:val="-6"/>
        </w:rPr>
        <w:t xml:space="preserve">元。 </w:t>
      </w:r>
    </w:p>
    <w:p>
      <w:pPr>
        <w:pStyle w:val="6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116.85</w:t>
      </w:r>
      <w:r>
        <w:rPr>
          <w:rFonts w:hint="eastAsia" w:ascii="仿宋" w:hAnsi="仿宋" w:eastAsia="仿宋" w:cs="仿宋"/>
          <w:spacing w:val="-6"/>
        </w:rPr>
        <w:t>亿元、由省级代为发行再融资债券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21.01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6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6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年全市地方政府债券还本付息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69.72</w:t>
      </w:r>
      <w:r>
        <w:rPr>
          <w:rFonts w:hint="eastAsia" w:ascii="仿宋" w:hAnsi="仿宋" w:eastAsia="仿宋" w:cs="仿宋"/>
          <w:spacing w:val="-6"/>
        </w:rPr>
        <w:t>亿元；市本级地方政府债券还本付息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15.70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6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年全市地方政府债券还本付息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187.19</w:t>
      </w:r>
      <w:r>
        <w:rPr>
          <w:rFonts w:hint="eastAsia" w:ascii="仿宋" w:hAnsi="仿宋" w:eastAsia="仿宋" w:cs="仿宋"/>
          <w:spacing w:val="-6"/>
        </w:rPr>
        <w:t>亿元；市本级地方政府债券还本付息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42.18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6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五、地方政府债券资金使用安排</w:t>
      </w:r>
    </w:p>
    <w:p>
      <w:pPr>
        <w:pStyle w:val="6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年省财政下达全市新增债务限额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316.42</w:t>
      </w:r>
      <w:r>
        <w:rPr>
          <w:rFonts w:hint="eastAsia" w:ascii="仿宋" w:hAnsi="仿宋" w:eastAsia="仿宋" w:cs="仿宋"/>
          <w:spacing w:val="-6"/>
        </w:rPr>
        <w:t>亿元，其中：市本级</w:t>
      </w:r>
      <w:r>
        <w:rPr>
          <w:rFonts w:hint="eastAsia" w:ascii="仿宋" w:hAnsi="仿宋" w:eastAsia="仿宋" w:cs="仿宋"/>
          <w:spacing w:val="-6"/>
          <w:lang w:val="en-US" w:eastAsia="zh-CN"/>
        </w:rPr>
        <w:t>44.62</w:t>
      </w:r>
      <w:r>
        <w:rPr>
          <w:rFonts w:hint="eastAsia" w:ascii="仿宋" w:hAnsi="仿宋" w:eastAsia="仿宋" w:cs="仿宋"/>
          <w:spacing w:val="-6"/>
        </w:rPr>
        <w:t>亿元，安排用于</w:t>
      </w:r>
      <w:r>
        <w:rPr>
          <w:rFonts w:hint="eastAsia" w:ascii="仿宋" w:hAnsi="仿宋" w:eastAsia="仿宋" w:cs="仿宋"/>
          <w:spacing w:val="-6"/>
          <w:lang w:eastAsia="zh-CN"/>
        </w:rPr>
        <w:t>公共卫生设施、产业园区、兴泉铁路项目、福厦客专项目、白濑水利枢纽工程</w:t>
      </w:r>
      <w:r>
        <w:rPr>
          <w:rFonts w:hint="eastAsia" w:ascii="仿宋" w:hAnsi="仿宋" w:eastAsia="仿宋" w:cs="仿宋"/>
          <w:spacing w:val="-6"/>
        </w:rPr>
        <w:t>等；县（市、区）</w:t>
      </w:r>
      <w:r>
        <w:rPr>
          <w:rFonts w:hint="eastAsia" w:ascii="仿宋" w:hAnsi="仿宋" w:eastAsia="仿宋" w:cs="仿宋"/>
          <w:spacing w:val="-6"/>
          <w:lang w:val="en-US" w:eastAsia="zh-CN"/>
        </w:rPr>
        <w:t>271.80</w:t>
      </w:r>
      <w:r>
        <w:rPr>
          <w:rFonts w:hint="eastAsia" w:ascii="仿宋" w:hAnsi="仿宋" w:eastAsia="仿宋" w:cs="仿宋"/>
          <w:spacing w:val="-6"/>
        </w:rPr>
        <w:t>亿元，安排用于</w:t>
      </w:r>
      <w:r>
        <w:rPr>
          <w:rFonts w:hint="eastAsia" w:ascii="仿宋" w:hAnsi="仿宋" w:eastAsia="仿宋" w:cs="仿宋"/>
          <w:spacing w:val="-6"/>
          <w:lang w:eastAsia="zh-CN"/>
        </w:rPr>
        <w:t>产业园区、乡村振兴、兴泉铁路项目、福厦客专项目、白濑水利枢纽工程</w:t>
      </w:r>
      <w:r>
        <w:rPr>
          <w:rFonts w:hint="eastAsia" w:ascii="仿宋" w:hAnsi="仿宋" w:eastAsia="仿宋" w:cs="仿宋"/>
          <w:spacing w:val="-6"/>
        </w:rPr>
        <w:t>等。</w:t>
      </w:r>
    </w:p>
    <w:sectPr>
      <w:footerReference r:id="rId4" w:type="default"/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224</Words>
  <Characters>304</Characters>
  <Lines>15</Lines>
  <Paragraphs>8</Paragraphs>
  <ScaleCrop>false</ScaleCrop>
  <LinksUpToDate>false</LinksUpToDate>
  <CharactersWithSpaces>0</CharactersWithSpaces>
  <Application>WPS Office 个人版_9.1.0.4636_{F1E327BC-269C-435d-A152-05C5408002CA}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林凌</dc:creator>
  <cp:lastModifiedBy>债务管理科/傅丹平</cp:lastModifiedBy>
  <cp:lastPrinted>2021-06-07T08:23:00Z</cp:lastPrinted>
  <dcterms:modified xsi:type="dcterms:W3CDTF">2021-06-08T03:51:49Z</dcterms:modified>
  <dc:title>2019年泉州市地方政府债务情况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2052-9.1.0.4636</vt:lpwstr>
  </property>
</Properties>
</file>